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6D4410">
      <w:pPr>
        <w:pStyle w:val="291"/>
        <w:keepNext w:val="0"/>
        <w:keepLines w:val="0"/>
        <w:pageBreakBefore w:val="0"/>
        <w:widowControl w:val="0"/>
        <w:spacing w:before="600"/>
        <w:ind w:firstLine="0"/>
        <w:jc w:val="center"/>
        <w:rPr>
          <w:rFonts w:hint="eastAsia" w:ascii="宋体" w:hAnsi="宋体" w:eastAsia="宋体" w:cs="宋体"/>
          <w:b/>
          <w:color w:val="auto"/>
          <w:sz w:val="52"/>
          <w:szCs w:val="52"/>
        </w:rPr>
      </w:pPr>
      <w:r>
        <w:rPr>
          <w:rFonts w:hint="eastAsia" w:ascii="宋体" w:hAnsi="宋体" w:eastAsia="宋体" w:cs="宋体"/>
          <w:b/>
          <w:bCs/>
          <w:color w:val="auto"/>
          <w:spacing w:val="80"/>
          <w:sz w:val="72"/>
          <w:szCs w:val="72"/>
        </w:rPr>
        <w:t>连云港市政府采购</w:t>
      </w:r>
    </w:p>
    <w:p w14:paraId="5300D3DB">
      <w:pPr>
        <w:pStyle w:val="291"/>
        <w:tabs>
          <w:tab w:val="left" w:pos="6510"/>
        </w:tabs>
        <w:ind w:firstLine="0"/>
        <w:jc w:val="both"/>
        <w:rPr>
          <w:rFonts w:hint="eastAsia" w:ascii="宋体" w:hAnsi="宋体" w:eastAsia="宋体" w:cs="宋体"/>
          <w:b/>
          <w:bCs/>
          <w:color w:val="auto"/>
          <w:spacing w:val="80"/>
          <w:sz w:val="72"/>
          <w:szCs w:val="72"/>
        </w:rPr>
      </w:pPr>
    </w:p>
    <w:p w14:paraId="6AA0F46E">
      <w:pPr>
        <w:pStyle w:val="291"/>
        <w:ind w:firstLine="0"/>
        <w:jc w:val="center"/>
        <w:outlineLvl w:val="0"/>
        <w:rPr>
          <w:rFonts w:hint="eastAsia" w:ascii="宋体" w:hAnsi="宋体" w:eastAsia="宋体" w:cs="宋体"/>
          <w:b/>
          <w:bCs/>
          <w:color w:val="auto"/>
          <w:sz w:val="32"/>
          <w:szCs w:val="32"/>
        </w:rPr>
      </w:pPr>
      <w:bookmarkStart w:id="0" w:name="_Toc923"/>
      <w:bookmarkStart w:id="1" w:name="_Toc32059"/>
      <w:bookmarkStart w:id="2" w:name="_Toc29285"/>
      <w:bookmarkStart w:id="3" w:name="_Toc26512"/>
      <w:bookmarkStart w:id="4" w:name="_Toc15935"/>
      <w:bookmarkStart w:id="5" w:name="_Toc13869"/>
      <w:bookmarkStart w:id="6" w:name="_Toc10296"/>
      <w:bookmarkStart w:id="7" w:name="_Toc32457"/>
      <w:r>
        <w:rPr>
          <w:rFonts w:hint="eastAsia" w:ascii="宋体" w:hAnsi="宋体" w:eastAsia="宋体" w:cs="宋体"/>
          <w:b/>
          <w:bCs/>
          <w:color w:val="auto"/>
          <w:sz w:val="72"/>
          <w:szCs w:val="72"/>
        </w:rPr>
        <w:t>竞争性磋商文件</w:t>
      </w:r>
      <w:bookmarkEnd w:id="0"/>
      <w:bookmarkEnd w:id="1"/>
      <w:bookmarkEnd w:id="2"/>
      <w:bookmarkEnd w:id="3"/>
      <w:bookmarkEnd w:id="4"/>
      <w:bookmarkEnd w:id="5"/>
      <w:bookmarkEnd w:id="6"/>
      <w:bookmarkEnd w:id="7"/>
    </w:p>
    <w:p w14:paraId="0EA6F510">
      <w:pPr>
        <w:pStyle w:val="291"/>
        <w:ind w:firstLine="0"/>
        <w:rPr>
          <w:rFonts w:hint="eastAsia" w:ascii="宋体" w:hAnsi="宋体" w:eastAsia="宋体" w:cs="宋体"/>
          <w:b/>
          <w:bCs/>
          <w:color w:val="auto"/>
          <w:sz w:val="32"/>
          <w:szCs w:val="32"/>
        </w:rPr>
      </w:pPr>
    </w:p>
    <w:p w14:paraId="33DEF199">
      <w:pPr>
        <w:pStyle w:val="291"/>
        <w:ind w:firstLine="0"/>
        <w:rPr>
          <w:rFonts w:hint="eastAsia" w:ascii="宋体" w:hAnsi="宋体" w:eastAsia="宋体" w:cs="宋体"/>
          <w:b/>
          <w:bCs/>
          <w:color w:val="auto"/>
          <w:sz w:val="32"/>
          <w:szCs w:val="32"/>
        </w:rPr>
      </w:pPr>
    </w:p>
    <w:tbl>
      <w:tblPr>
        <w:tblStyle w:val="49"/>
        <w:tblW w:w="0" w:type="auto"/>
        <w:jc w:val="center"/>
        <w:tblLayout w:type="fixed"/>
        <w:tblCellMar>
          <w:top w:w="0" w:type="dxa"/>
          <w:left w:w="108" w:type="dxa"/>
          <w:bottom w:w="0" w:type="dxa"/>
          <w:right w:w="108" w:type="dxa"/>
        </w:tblCellMar>
      </w:tblPr>
      <w:tblGrid>
        <w:gridCol w:w="1992"/>
        <w:gridCol w:w="6906"/>
      </w:tblGrid>
      <w:tr w14:paraId="7F0CC322">
        <w:tblPrEx>
          <w:tblCellMar>
            <w:top w:w="0" w:type="dxa"/>
            <w:left w:w="108" w:type="dxa"/>
            <w:bottom w:w="0" w:type="dxa"/>
            <w:right w:w="108" w:type="dxa"/>
          </w:tblCellMar>
        </w:tblPrEx>
        <w:trPr>
          <w:trHeight w:val="855" w:hRule="atLeast"/>
          <w:jc w:val="center"/>
        </w:trPr>
        <w:tc>
          <w:tcPr>
            <w:tcW w:w="1992" w:type="dxa"/>
            <w:tcBorders>
              <w:top w:val="nil"/>
              <w:left w:val="nil"/>
              <w:bottom w:val="nil"/>
              <w:right w:val="nil"/>
            </w:tcBorders>
            <w:noWrap w:val="0"/>
            <w:vAlign w:val="center"/>
          </w:tcPr>
          <w:p w14:paraId="4EE54227">
            <w:pPr>
              <w:spacing w:line="360" w:lineRule="auto"/>
              <w:jc w:val="center"/>
              <w:rPr>
                <w:rFonts w:hint="eastAsia" w:ascii="宋体" w:hAnsi="宋体" w:eastAsia="宋体" w:cs="宋体"/>
                <w:b/>
                <w:bCs/>
                <w:color w:val="auto"/>
                <w:spacing w:val="16"/>
                <w:sz w:val="32"/>
                <w:szCs w:val="32"/>
              </w:rPr>
            </w:pPr>
            <w:r>
              <w:rPr>
                <w:rFonts w:hint="eastAsia" w:ascii="宋体" w:hAnsi="宋体" w:eastAsia="宋体" w:cs="宋体"/>
                <w:b/>
                <w:bCs/>
                <w:color w:val="auto"/>
                <w:spacing w:val="16"/>
                <w:sz w:val="32"/>
                <w:szCs w:val="32"/>
              </w:rPr>
              <w:t>项目名称：</w:t>
            </w:r>
          </w:p>
        </w:tc>
        <w:tc>
          <w:tcPr>
            <w:tcW w:w="6906" w:type="dxa"/>
            <w:tcBorders>
              <w:top w:val="nil"/>
              <w:left w:val="nil"/>
              <w:bottom w:val="nil"/>
              <w:right w:val="nil"/>
            </w:tcBorders>
            <w:noWrap w:val="0"/>
            <w:vAlign w:val="center"/>
          </w:tcPr>
          <w:p w14:paraId="1294C15C">
            <w:pPr>
              <w:spacing w:line="360" w:lineRule="auto"/>
              <w:rPr>
                <w:rFonts w:hint="eastAsia" w:ascii="宋体" w:hAnsi="宋体" w:eastAsia="宋体" w:cs="宋体"/>
                <w:b/>
                <w:bCs/>
                <w:color w:val="auto"/>
                <w:spacing w:val="16"/>
                <w:sz w:val="32"/>
                <w:szCs w:val="32"/>
                <w:lang w:eastAsia="zh-CN"/>
              </w:rPr>
            </w:pPr>
            <w:r>
              <w:rPr>
                <w:rFonts w:hint="eastAsia" w:ascii="宋体" w:hAnsi="宋体" w:cs="宋体"/>
                <w:b/>
                <w:bCs/>
                <w:color w:val="auto"/>
                <w:sz w:val="32"/>
                <w:lang w:eastAsia="zh-CN"/>
              </w:rPr>
              <w:t>连云港开放大学图书馆外墙翻新维修</w:t>
            </w:r>
            <w:r>
              <w:rPr>
                <w:rFonts w:hint="eastAsia" w:ascii="宋体" w:hAnsi="宋体" w:eastAsia="宋体" w:cs="宋体"/>
                <w:b/>
                <w:bCs/>
                <w:color w:val="auto"/>
                <w:sz w:val="32"/>
                <w:szCs w:val="32"/>
                <w:lang w:val="en-US" w:eastAsia="zh-CN" w:bidi="ar-SA"/>
              </w:rPr>
              <w:t>（专门面向中小企业）</w:t>
            </w:r>
          </w:p>
        </w:tc>
      </w:tr>
      <w:tr w14:paraId="53B588EB">
        <w:tblPrEx>
          <w:tblCellMar>
            <w:top w:w="0" w:type="dxa"/>
            <w:left w:w="108" w:type="dxa"/>
            <w:bottom w:w="0" w:type="dxa"/>
            <w:right w:w="108" w:type="dxa"/>
          </w:tblCellMar>
        </w:tblPrEx>
        <w:trPr>
          <w:trHeight w:val="855" w:hRule="atLeast"/>
          <w:jc w:val="center"/>
        </w:trPr>
        <w:tc>
          <w:tcPr>
            <w:tcW w:w="1992" w:type="dxa"/>
            <w:tcBorders>
              <w:top w:val="nil"/>
              <w:left w:val="nil"/>
              <w:bottom w:val="nil"/>
              <w:right w:val="nil"/>
            </w:tcBorders>
            <w:noWrap w:val="0"/>
            <w:vAlign w:val="center"/>
          </w:tcPr>
          <w:p w14:paraId="183F0C73">
            <w:pPr>
              <w:spacing w:line="360" w:lineRule="auto"/>
              <w:jc w:val="center"/>
              <w:rPr>
                <w:rFonts w:hint="eastAsia" w:ascii="宋体" w:hAnsi="宋体" w:eastAsia="宋体" w:cs="宋体"/>
                <w:b/>
                <w:bCs/>
                <w:color w:val="auto"/>
                <w:spacing w:val="16"/>
                <w:sz w:val="32"/>
                <w:szCs w:val="32"/>
                <w:lang w:val="en-US" w:eastAsia="zh-CN"/>
              </w:rPr>
            </w:pPr>
            <w:r>
              <w:rPr>
                <w:rFonts w:hint="eastAsia" w:ascii="宋体" w:hAnsi="宋体" w:eastAsia="宋体" w:cs="宋体"/>
                <w:b/>
                <w:bCs/>
                <w:color w:val="auto"/>
                <w:spacing w:val="16"/>
                <w:sz w:val="32"/>
                <w:szCs w:val="32"/>
              </w:rPr>
              <w:t>项目编号：</w:t>
            </w:r>
          </w:p>
        </w:tc>
        <w:tc>
          <w:tcPr>
            <w:tcW w:w="6906" w:type="dxa"/>
            <w:tcBorders>
              <w:top w:val="nil"/>
              <w:left w:val="nil"/>
              <w:bottom w:val="nil"/>
              <w:right w:val="nil"/>
            </w:tcBorders>
            <w:noWrap w:val="0"/>
            <w:vAlign w:val="center"/>
          </w:tcPr>
          <w:p w14:paraId="1B98F943">
            <w:pPr>
              <w:spacing w:line="360" w:lineRule="auto"/>
              <w:rPr>
                <w:rFonts w:hint="eastAsia" w:ascii="宋体" w:hAnsi="宋体" w:eastAsia="宋体" w:cs="宋体"/>
                <w:i w:val="0"/>
                <w:iCs w:val="0"/>
                <w:caps w:val="0"/>
                <w:color w:val="auto"/>
                <w:spacing w:val="0"/>
                <w:sz w:val="21"/>
                <w:szCs w:val="21"/>
                <w:lang w:val="en-US" w:eastAsia="zh-CN" w:bidi="ar-SA"/>
              </w:rPr>
            </w:pPr>
            <w:r>
              <w:rPr>
                <w:rFonts w:hint="eastAsia" w:ascii="宋体" w:hAnsi="宋体" w:cs="宋体"/>
                <w:b/>
                <w:bCs/>
                <w:color w:val="auto"/>
                <w:sz w:val="32"/>
                <w:lang w:val="en-US" w:eastAsia="zh-CN"/>
              </w:rPr>
              <w:t>JSZC-320700-JSGH-C2026-0006</w:t>
            </w:r>
          </w:p>
        </w:tc>
      </w:tr>
    </w:tbl>
    <w:p w14:paraId="2A9A23A4">
      <w:pPr>
        <w:rPr>
          <w:rFonts w:hint="eastAsia"/>
          <w:color w:val="auto"/>
        </w:rPr>
      </w:pPr>
    </w:p>
    <w:p w14:paraId="61BD851E">
      <w:pPr>
        <w:pStyle w:val="291"/>
        <w:ind w:firstLine="0"/>
        <w:jc w:val="both"/>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3FFD4418">
      <w:pPr>
        <w:pStyle w:val="291"/>
        <w:ind w:firstLine="0"/>
        <w:jc w:val="both"/>
        <w:rPr>
          <w:rFonts w:hint="eastAsia" w:ascii="宋体" w:hAnsi="宋体" w:eastAsia="宋体" w:cs="宋体"/>
          <w:color w:val="auto"/>
          <w:sz w:val="24"/>
          <w:szCs w:val="24"/>
        </w:rPr>
      </w:pPr>
    </w:p>
    <w:tbl>
      <w:tblPr>
        <w:tblStyle w:val="49"/>
        <w:tblW w:w="0" w:type="auto"/>
        <w:tblInd w:w="286"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2467"/>
        <w:gridCol w:w="6433"/>
      </w:tblGrid>
      <w:tr w14:paraId="1755375E">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27" w:hRule="atLeast"/>
        </w:trPr>
        <w:tc>
          <w:tcPr>
            <w:tcW w:w="2467" w:type="dxa"/>
            <w:noWrap w:val="0"/>
            <w:vAlign w:val="center"/>
          </w:tcPr>
          <w:p w14:paraId="397FF052">
            <w:pPr>
              <w:spacing w:line="360" w:lineRule="auto"/>
              <w:jc w:val="center"/>
              <w:rPr>
                <w:rFonts w:hint="eastAsia" w:ascii="宋体" w:hAnsi="宋体" w:eastAsia="宋体" w:cs="宋体"/>
                <w:color w:val="auto"/>
              </w:rPr>
            </w:pPr>
            <w:bookmarkStart w:id="8" w:name="OLE_LINK4"/>
            <w:bookmarkStart w:id="9" w:name="OLE_LINK31"/>
            <w:r>
              <w:rPr>
                <w:rFonts w:hint="eastAsia" w:ascii="宋体" w:hAnsi="宋体" w:eastAsia="宋体" w:cs="宋体"/>
                <w:b/>
                <w:bCs/>
                <w:color w:val="auto"/>
                <w:sz w:val="32"/>
              </w:rPr>
              <w:t>采   购   人：</w:t>
            </w:r>
            <w:bookmarkEnd w:id="8"/>
            <w:bookmarkEnd w:id="9"/>
          </w:p>
        </w:tc>
        <w:tc>
          <w:tcPr>
            <w:tcW w:w="6433" w:type="dxa"/>
            <w:noWrap w:val="0"/>
            <w:vAlign w:val="center"/>
          </w:tcPr>
          <w:p w14:paraId="6D5CF3E8">
            <w:pPr>
              <w:pStyle w:val="24"/>
              <w:spacing w:line="360" w:lineRule="auto"/>
              <w:rPr>
                <w:rFonts w:hint="eastAsia" w:ascii="宋体" w:hAnsi="宋体" w:eastAsia="宋体" w:cs="宋体"/>
                <w:b/>
                <w:bCs/>
                <w:color w:val="auto"/>
                <w:sz w:val="32"/>
                <w:szCs w:val="32"/>
                <w:lang w:eastAsia="zh-CN"/>
              </w:rPr>
            </w:pPr>
            <w:r>
              <w:rPr>
                <w:rFonts w:hint="eastAsia" w:ascii="宋体" w:hAnsi="宋体" w:eastAsia="宋体" w:cs="宋体"/>
                <w:b/>
                <w:bCs/>
                <w:color w:val="auto"/>
                <w:sz w:val="32"/>
                <w:lang w:eastAsia="zh-CN"/>
              </w:rPr>
              <w:t>连云港开放大学</w:t>
            </w:r>
          </w:p>
        </w:tc>
      </w:tr>
      <w:tr w14:paraId="64D82F47">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97" w:hRule="atLeast"/>
        </w:trPr>
        <w:tc>
          <w:tcPr>
            <w:tcW w:w="2467" w:type="dxa"/>
            <w:noWrap w:val="0"/>
            <w:vAlign w:val="center"/>
          </w:tcPr>
          <w:p w14:paraId="469BBD92">
            <w:pPr>
              <w:spacing w:line="360" w:lineRule="auto"/>
              <w:jc w:val="center"/>
              <w:rPr>
                <w:rFonts w:hint="eastAsia" w:ascii="宋体" w:hAnsi="宋体" w:eastAsia="宋体" w:cs="宋体"/>
                <w:color w:val="auto"/>
              </w:rPr>
            </w:pPr>
            <w:r>
              <w:rPr>
                <w:rFonts w:hint="eastAsia" w:ascii="宋体" w:hAnsi="宋体" w:eastAsia="宋体" w:cs="宋体"/>
                <w:b/>
                <w:bCs/>
                <w:color w:val="auto"/>
                <w:sz w:val="32"/>
              </w:rPr>
              <w:t>采购代理机构：</w:t>
            </w:r>
          </w:p>
        </w:tc>
        <w:tc>
          <w:tcPr>
            <w:tcW w:w="6433" w:type="dxa"/>
            <w:noWrap w:val="0"/>
            <w:vAlign w:val="center"/>
          </w:tcPr>
          <w:p w14:paraId="1BDE43CB">
            <w:pPr>
              <w:pStyle w:val="24"/>
              <w:spacing w:line="36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pacing w:val="20"/>
                <w:sz w:val="32"/>
                <w:lang w:eastAsia="zh-CN"/>
              </w:rPr>
              <w:t>江苏国衡工程咨询有限公司</w:t>
            </w:r>
          </w:p>
        </w:tc>
      </w:tr>
    </w:tbl>
    <w:p w14:paraId="78996CF2">
      <w:pPr>
        <w:spacing w:line="360" w:lineRule="auto"/>
        <w:rPr>
          <w:rFonts w:hint="eastAsia" w:ascii="宋体" w:hAnsi="宋体" w:eastAsia="宋体" w:cs="宋体"/>
          <w:color w:val="auto"/>
          <w:szCs w:val="21"/>
        </w:rPr>
      </w:pPr>
    </w:p>
    <w:tbl>
      <w:tblPr>
        <w:tblStyle w:val="49"/>
        <w:tblW w:w="0" w:type="auto"/>
        <w:jc w:val="center"/>
        <w:tblLayout w:type="fixed"/>
        <w:tblCellMar>
          <w:top w:w="0" w:type="dxa"/>
          <w:left w:w="108" w:type="dxa"/>
          <w:bottom w:w="0" w:type="dxa"/>
          <w:right w:w="108" w:type="dxa"/>
        </w:tblCellMar>
      </w:tblPr>
      <w:tblGrid>
        <w:gridCol w:w="4380"/>
      </w:tblGrid>
      <w:tr w14:paraId="7B121FCA">
        <w:tblPrEx>
          <w:tblCellMar>
            <w:top w:w="0" w:type="dxa"/>
            <w:left w:w="108" w:type="dxa"/>
            <w:bottom w:w="0" w:type="dxa"/>
            <w:right w:w="108" w:type="dxa"/>
          </w:tblCellMar>
        </w:tblPrEx>
        <w:trPr>
          <w:trHeight w:val="765" w:hRule="atLeast"/>
          <w:jc w:val="center"/>
        </w:trPr>
        <w:tc>
          <w:tcPr>
            <w:tcW w:w="4380" w:type="dxa"/>
            <w:tcBorders>
              <w:top w:val="nil"/>
              <w:left w:val="nil"/>
              <w:bottom w:val="nil"/>
              <w:right w:val="nil"/>
            </w:tcBorders>
            <w:noWrap w:val="0"/>
          </w:tcPr>
          <w:p w14:paraId="00C8E70C">
            <w:pPr>
              <w:pStyle w:val="24"/>
              <w:spacing w:line="360" w:lineRule="auto"/>
              <w:jc w:val="center"/>
              <w:rPr>
                <w:rFonts w:hint="eastAsia" w:ascii="宋体" w:hAnsi="宋体" w:eastAsia="宋体" w:cs="宋体"/>
                <w:b/>
                <w:color w:val="auto"/>
                <w:sz w:val="32"/>
                <w:szCs w:val="32"/>
              </w:rPr>
            </w:pPr>
            <w:bookmarkStart w:id="10" w:name="OLE_LINK12"/>
            <w:bookmarkStart w:id="11" w:name="OLE_LINK35"/>
            <w:r>
              <w:rPr>
                <w:rFonts w:hint="eastAsia" w:ascii="宋体" w:hAnsi="宋体" w:eastAsia="宋体" w:cs="宋体"/>
                <w:b/>
                <w:color w:val="auto"/>
                <w:sz w:val="32"/>
                <w:szCs w:val="32"/>
              </w:rPr>
              <w:t>202</w:t>
            </w:r>
            <w:r>
              <w:rPr>
                <w:rFonts w:hint="eastAsia" w:ascii="宋体" w:hAnsi="宋体" w:eastAsia="宋体" w:cs="宋体"/>
                <w:b/>
                <w:color w:val="auto"/>
                <w:sz w:val="32"/>
                <w:szCs w:val="32"/>
                <w:lang w:val="en-US" w:eastAsia="zh-CN"/>
              </w:rPr>
              <w:t>6</w:t>
            </w:r>
            <w:r>
              <w:rPr>
                <w:rFonts w:hint="eastAsia" w:ascii="宋体" w:hAnsi="宋体" w:eastAsia="宋体" w:cs="宋体"/>
                <w:b/>
                <w:color w:val="auto"/>
                <w:sz w:val="32"/>
                <w:szCs w:val="32"/>
              </w:rPr>
              <w:t>年</w:t>
            </w:r>
            <w:r>
              <w:rPr>
                <w:rFonts w:hint="eastAsia" w:ascii="宋体" w:hAnsi="宋体" w:eastAsia="宋体" w:cs="宋体"/>
                <w:b/>
                <w:color w:val="auto"/>
                <w:sz w:val="32"/>
                <w:szCs w:val="32"/>
                <w:lang w:val="en-US" w:eastAsia="zh-CN"/>
              </w:rPr>
              <w:t xml:space="preserve"> 07</w:t>
            </w:r>
            <w:r>
              <w:rPr>
                <w:rFonts w:hint="eastAsia" w:ascii="宋体" w:hAnsi="宋体" w:eastAsia="宋体" w:cs="宋体"/>
                <w:b/>
                <w:color w:val="auto"/>
                <w:sz w:val="32"/>
                <w:szCs w:val="32"/>
              </w:rPr>
              <w:t>月</w:t>
            </w:r>
            <w:bookmarkEnd w:id="10"/>
            <w:bookmarkEnd w:id="11"/>
          </w:p>
          <w:p w14:paraId="2495AF78">
            <w:pPr>
              <w:pStyle w:val="24"/>
              <w:spacing w:line="360" w:lineRule="auto"/>
              <w:jc w:val="left"/>
              <w:rPr>
                <w:rFonts w:hint="eastAsia" w:ascii="宋体" w:hAnsi="宋体" w:eastAsia="宋体" w:cs="宋体"/>
                <w:b/>
                <w:color w:val="auto"/>
                <w:sz w:val="32"/>
                <w:szCs w:val="32"/>
              </w:rPr>
            </w:pPr>
          </w:p>
        </w:tc>
      </w:tr>
    </w:tbl>
    <w:p w14:paraId="6FF5DA1A">
      <w:pPr>
        <w:pStyle w:val="24"/>
        <w:spacing w:line="360" w:lineRule="auto"/>
        <w:jc w:val="left"/>
        <w:rPr>
          <w:rFonts w:hint="eastAsia" w:ascii="宋体" w:hAnsi="宋体" w:eastAsia="宋体" w:cs="宋体"/>
          <w:b/>
          <w:color w:val="auto"/>
          <w:sz w:val="32"/>
          <w:szCs w:val="32"/>
        </w:rPr>
        <w:sectPr>
          <w:footerReference r:id="rId4" w:type="first"/>
          <w:footerReference r:id="rId3" w:type="default"/>
          <w:pgSz w:w="11906" w:h="16838"/>
          <w:pgMar w:top="1247" w:right="1134" w:bottom="1021" w:left="1361" w:header="1021" w:footer="964" w:gutter="0"/>
          <w:pgNumType w:start="1"/>
          <w:cols w:space="1701" w:num="1"/>
          <w:docGrid w:linePitch="360" w:charSpace="0"/>
        </w:sectPr>
      </w:pPr>
    </w:p>
    <w:p w14:paraId="59A1DC07">
      <w:pPr>
        <w:spacing w:before="0" w:after="0" w:line="240" w:lineRule="auto"/>
        <w:ind w:left="0" w:right="0" w:firstLine="0"/>
        <w:jc w:val="center"/>
        <w:rPr>
          <w:rFonts w:hint="default" w:ascii="宋体" w:hAnsi="宋体" w:eastAsia="宋体" w:cs="Times New Roman"/>
          <w:b/>
          <w:bCs/>
          <w:color w:val="auto"/>
          <w:sz w:val="28"/>
          <w:szCs w:val="28"/>
          <w:lang w:val="en-US" w:eastAsia="zh-CN" w:bidi="ar-SA"/>
        </w:rPr>
      </w:pPr>
    </w:p>
    <w:sdt>
      <w:sdtPr>
        <w:rPr>
          <w:rFonts w:hint="default" w:ascii="宋体" w:hAnsi="宋体" w:eastAsia="宋体" w:cs="Times New Roman"/>
          <w:b/>
          <w:bCs/>
          <w:color w:val="auto"/>
          <w:sz w:val="28"/>
          <w:szCs w:val="28"/>
          <w:lang w:val="en-US" w:eastAsia="zh-CN" w:bidi="ar-SA"/>
        </w:rPr>
        <w:id w:val="147451450"/>
        <w15:color w:val="DBDBDB"/>
        <w:docPartObj>
          <w:docPartGallery w:val="Table of Contents"/>
          <w:docPartUnique/>
        </w:docPartObj>
      </w:sdtPr>
      <w:sdtEndPr>
        <w:rPr>
          <w:rFonts w:hint="default" w:ascii="宋体" w:hAnsi="宋体" w:eastAsia="宋体" w:cs="Times New Roman"/>
          <w:b/>
          <w:bCs/>
          <w:color w:val="auto"/>
          <w:sz w:val="28"/>
          <w:szCs w:val="28"/>
          <w:lang w:val="en-US" w:eastAsia="zh-CN" w:bidi="ar-SA"/>
        </w:rPr>
      </w:sdtEndPr>
      <w:sdtContent>
        <w:p w14:paraId="22885288">
          <w:pPr>
            <w:spacing w:before="0" w:after="0" w:line="240" w:lineRule="auto"/>
            <w:ind w:left="0" w:right="0" w:firstLine="0"/>
            <w:jc w:val="center"/>
            <w:rPr>
              <w:b/>
              <w:bCs/>
              <w:color w:val="auto"/>
              <w:sz w:val="28"/>
              <w:szCs w:val="28"/>
            </w:rPr>
          </w:pPr>
          <w:r>
            <w:rPr>
              <w:rFonts w:ascii="宋体" w:hAnsi="宋体" w:eastAsia="宋体"/>
              <w:b/>
              <w:bCs/>
              <w:color w:val="auto"/>
              <w:sz w:val="28"/>
              <w:szCs w:val="28"/>
            </w:rPr>
            <w:t>目录</w:t>
          </w:r>
        </w:p>
        <w:p w14:paraId="5E8AB709">
          <w:pPr>
            <w:pStyle w:val="265"/>
            <w:tabs>
              <w:tab w:val="right" w:leader="dot" w:pos="9411"/>
            </w:tabs>
            <w:rPr>
              <w:color w:val="auto"/>
            </w:rPr>
          </w:pPr>
          <w:r>
            <w:rPr>
              <w:rFonts w:hint="eastAsia" w:ascii="宋体" w:hAnsi="宋体" w:eastAsia="宋体" w:cs="宋体"/>
              <w:color w:val="auto"/>
              <w:sz w:val="56"/>
              <w:szCs w:val="56"/>
            </w:rPr>
            <w:fldChar w:fldCharType="begin"/>
          </w:r>
          <w:r>
            <w:rPr>
              <w:rFonts w:hint="eastAsia" w:ascii="宋体" w:hAnsi="宋体" w:eastAsia="宋体" w:cs="宋体"/>
              <w:color w:val="auto"/>
              <w:sz w:val="56"/>
              <w:szCs w:val="56"/>
            </w:rPr>
            <w:instrText xml:space="preserve">TOC \o "1-1" \h \u </w:instrText>
          </w:r>
          <w:r>
            <w:rPr>
              <w:rFonts w:hint="eastAsia" w:ascii="宋体" w:hAnsi="宋体" w:eastAsia="宋体" w:cs="宋体"/>
              <w:color w:val="auto"/>
              <w:sz w:val="56"/>
              <w:szCs w:val="56"/>
            </w:rPr>
            <w:fldChar w:fldCharType="separate"/>
          </w:r>
        </w:p>
        <w:p w14:paraId="38C041B7">
          <w:pPr>
            <w:pStyle w:val="265"/>
            <w:keepNext w:val="0"/>
            <w:keepLines w:val="0"/>
            <w:pageBreakBefore w:val="0"/>
            <w:widowControl/>
            <w:tabs>
              <w:tab w:val="right" w:leader="dot" w:pos="9411"/>
            </w:tabs>
            <w:spacing w:after="181"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_Toc19802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第一章 竞争性磋商采购公告</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_Toc19802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6058CF9D">
          <w:pPr>
            <w:pStyle w:val="265"/>
            <w:keepNext w:val="0"/>
            <w:keepLines w:val="0"/>
            <w:pageBreakBefore w:val="0"/>
            <w:widowControl/>
            <w:tabs>
              <w:tab w:val="right" w:leader="dot" w:pos="9411"/>
            </w:tabs>
            <w:spacing w:after="181"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_Toc21398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第二章 磋商须知</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_Toc21398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6</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6B3032A2">
          <w:pPr>
            <w:pStyle w:val="265"/>
            <w:keepNext w:val="0"/>
            <w:keepLines w:val="0"/>
            <w:pageBreakBefore w:val="0"/>
            <w:widowControl/>
            <w:tabs>
              <w:tab w:val="right" w:leader="dot" w:pos="9411"/>
            </w:tabs>
            <w:spacing w:after="181"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_Toc27686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第三章 合同条款及格式</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2</w:t>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4</w:t>
          </w:r>
        </w:p>
        <w:p w14:paraId="64248364">
          <w:pPr>
            <w:pStyle w:val="265"/>
            <w:keepNext w:val="0"/>
            <w:keepLines w:val="0"/>
            <w:pageBreakBefore w:val="0"/>
            <w:widowControl/>
            <w:tabs>
              <w:tab w:val="right" w:leader="dot" w:pos="9411"/>
            </w:tabs>
            <w:spacing w:after="181"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_Toc24477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第四章 技术标准和要求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_Toc24477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60</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21329E12">
          <w:pPr>
            <w:pStyle w:val="265"/>
            <w:keepNext w:val="0"/>
            <w:keepLines w:val="0"/>
            <w:pageBreakBefore w:val="0"/>
            <w:widowControl/>
            <w:tabs>
              <w:tab w:val="right" w:leader="dot" w:pos="9411"/>
            </w:tabs>
            <w:spacing w:after="181"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_Toc20724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第五章 工程量清单</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_Toc20724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62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5BDA79F3">
          <w:pPr>
            <w:pStyle w:val="265"/>
            <w:keepNext w:val="0"/>
            <w:keepLines w:val="0"/>
            <w:pageBreakBefore w:val="0"/>
            <w:widowControl/>
            <w:tabs>
              <w:tab w:val="right" w:leader="dot" w:pos="9411"/>
            </w:tabs>
            <w:spacing w:after="181"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_Toc20526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第六章 图纸和技术资料</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_Toc20526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63</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4567B6A1">
          <w:pPr>
            <w:pStyle w:val="265"/>
            <w:keepNext w:val="0"/>
            <w:keepLines w:val="0"/>
            <w:pageBreakBefore w:val="0"/>
            <w:widowControl/>
            <w:tabs>
              <w:tab w:val="right" w:leader="dot" w:pos="9411"/>
            </w:tabs>
            <w:spacing w:after="181"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_Toc30065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第七章 评审方法和评审标准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_Toc30065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64</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502212C2">
          <w:pPr>
            <w:pStyle w:val="265"/>
            <w:keepNext w:val="0"/>
            <w:keepLines w:val="0"/>
            <w:pageBreakBefore w:val="0"/>
            <w:widowControl/>
            <w:tabs>
              <w:tab w:val="right" w:leader="dot" w:pos="9411"/>
            </w:tabs>
            <w:spacing w:after="181"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_Toc1731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第八章 竞争性磋商响应文件格式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_Toc1731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68</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33628026">
          <w:pPr>
            <w:pStyle w:val="265"/>
            <w:tabs>
              <w:tab w:val="right" w:leader="dot" w:pos="9451"/>
            </w:tabs>
            <w:spacing w:line="480" w:lineRule="auto"/>
            <w:rPr>
              <w:rFonts w:hint="eastAsia" w:ascii="宋体" w:hAnsi="宋体" w:eastAsia="宋体" w:cs="宋体"/>
              <w:color w:val="auto"/>
              <w:sz w:val="56"/>
              <w:szCs w:val="56"/>
            </w:rPr>
          </w:pPr>
          <w:r>
            <w:rPr>
              <w:rFonts w:hint="eastAsia" w:ascii="宋体" w:hAnsi="宋体" w:eastAsia="宋体" w:cs="宋体"/>
              <w:color w:val="auto"/>
              <w:szCs w:val="56"/>
            </w:rPr>
            <w:fldChar w:fldCharType="end"/>
          </w:r>
        </w:p>
      </w:sdtContent>
    </w:sdt>
    <w:p w14:paraId="2E586D4E">
      <w:pPr>
        <w:pStyle w:val="265"/>
        <w:tabs>
          <w:tab w:val="left" w:pos="6595"/>
        </w:tabs>
        <w:spacing w:line="480" w:lineRule="auto"/>
        <w:rPr>
          <w:rFonts w:hint="eastAsia" w:ascii="宋体" w:hAnsi="宋体" w:eastAsia="宋体" w:cs="宋体"/>
          <w:color w:val="auto"/>
          <w:sz w:val="56"/>
          <w:szCs w:val="56"/>
          <w:lang w:eastAsia="zh-CN"/>
        </w:rPr>
      </w:pPr>
      <w:r>
        <w:rPr>
          <w:rFonts w:hint="eastAsia" w:ascii="宋体" w:hAnsi="宋体" w:cs="宋体"/>
          <w:color w:val="auto"/>
          <w:sz w:val="56"/>
          <w:szCs w:val="56"/>
          <w:lang w:eastAsia="zh-CN"/>
        </w:rPr>
        <w:tab/>
      </w:r>
    </w:p>
    <w:p w14:paraId="29EB4F23">
      <w:pPr>
        <w:pStyle w:val="265"/>
        <w:tabs>
          <w:tab w:val="right" w:leader="dot" w:pos="9451"/>
        </w:tabs>
        <w:spacing w:line="480" w:lineRule="auto"/>
        <w:rPr>
          <w:rFonts w:hint="eastAsia" w:ascii="宋体" w:hAnsi="宋体" w:eastAsia="宋体" w:cs="宋体"/>
          <w:color w:val="auto"/>
          <w:sz w:val="56"/>
          <w:szCs w:val="56"/>
        </w:rPr>
      </w:pPr>
    </w:p>
    <w:p w14:paraId="6F11D681">
      <w:pPr>
        <w:pStyle w:val="265"/>
        <w:tabs>
          <w:tab w:val="right" w:leader="dot" w:pos="9451"/>
        </w:tabs>
        <w:spacing w:line="480" w:lineRule="auto"/>
        <w:rPr>
          <w:rFonts w:hint="eastAsia" w:ascii="宋体" w:hAnsi="宋体" w:eastAsia="宋体" w:cs="宋体"/>
          <w:color w:val="auto"/>
          <w:sz w:val="56"/>
          <w:szCs w:val="56"/>
        </w:rPr>
      </w:pPr>
    </w:p>
    <w:p w14:paraId="218C9D06">
      <w:pPr>
        <w:pStyle w:val="265"/>
        <w:tabs>
          <w:tab w:val="right" w:leader="dot" w:pos="9451"/>
        </w:tabs>
        <w:spacing w:line="480" w:lineRule="auto"/>
        <w:rPr>
          <w:rFonts w:hint="eastAsia" w:ascii="宋体" w:hAnsi="宋体" w:eastAsia="宋体" w:cs="宋体"/>
          <w:color w:val="auto"/>
          <w:sz w:val="56"/>
          <w:szCs w:val="56"/>
        </w:rPr>
      </w:pPr>
    </w:p>
    <w:p w14:paraId="1D1F0B6C">
      <w:pPr>
        <w:pStyle w:val="3"/>
        <w:spacing w:line="360" w:lineRule="auto"/>
        <w:jc w:val="center"/>
        <w:rPr>
          <w:rFonts w:hint="eastAsia" w:ascii="宋体" w:hAnsi="宋体" w:eastAsia="宋体" w:cs="宋体"/>
          <w:b/>
          <w:bCs/>
          <w:color w:val="auto"/>
          <w:sz w:val="40"/>
          <w:szCs w:val="40"/>
        </w:rPr>
      </w:pPr>
      <w:bookmarkStart w:id="12" w:name="_Toc13471"/>
      <w:bookmarkStart w:id="13" w:name="_Toc31075"/>
      <w:bookmarkStart w:id="14" w:name="_Toc4298"/>
      <w:bookmarkStart w:id="15" w:name="_Toc18883"/>
      <w:bookmarkStart w:id="16" w:name="_Toc4781"/>
      <w:bookmarkStart w:id="17" w:name="_Toc26128"/>
      <w:bookmarkStart w:id="18" w:name="_Toc13410"/>
      <w:bookmarkStart w:id="19" w:name="_Toc19802"/>
      <w:bookmarkStart w:id="20" w:name="_Toc28787"/>
      <w:r>
        <w:rPr>
          <w:rFonts w:hint="eastAsia" w:ascii="宋体" w:hAnsi="宋体" w:eastAsia="宋体" w:cs="宋体"/>
          <w:b/>
          <w:bCs/>
          <w:color w:val="auto"/>
          <w:sz w:val="40"/>
          <w:szCs w:val="40"/>
        </w:rPr>
        <w:t>第一章 竞争性磋商采购公告</w:t>
      </w:r>
      <w:bookmarkEnd w:id="12"/>
      <w:bookmarkEnd w:id="13"/>
      <w:bookmarkEnd w:id="14"/>
      <w:bookmarkEnd w:id="15"/>
      <w:bookmarkEnd w:id="16"/>
      <w:bookmarkEnd w:id="17"/>
      <w:bookmarkEnd w:id="18"/>
      <w:bookmarkEnd w:id="19"/>
      <w:bookmarkEnd w:id="20"/>
    </w:p>
    <w:p w14:paraId="381C6EB8">
      <w:pPr>
        <w:pBdr>
          <w:top w:val="single" w:color="000000" w:sz="4" w:space="1"/>
          <w:left w:val="single" w:color="000000" w:sz="4" w:space="4"/>
          <w:bottom w:val="single" w:color="000000" w:sz="4" w:space="1"/>
          <w:right w:val="single" w:color="000000" w:sz="4" w:space="4"/>
        </w:pBdr>
        <w:spacing w:line="360" w:lineRule="auto"/>
        <w:rPr>
          <w:rFonts w:hint="eastAsia" w:ascii="宋体" w:hAnsi="宋体" w:eastAsia="宋体" w:cs="宋体"/>
          <w:color w:val="auto"/>
          <w:sz w:val="24"/>
          <w:szCs w:val="28"/>
        </w:rPr>
      </w:pPr>
      <w:bookmarkStart w:id="21" w:name="_Toc28359089"/>
      <w:bookmarkStart w:id="22" w:name="_Toc35393798"/>
      <w:bookmarkStart w:id="23" w:name="_Toc35393629"/>
      <w:bookmarkStart w:id="24" w:name="_Toc28359012"/>
      <w:r>
        <w:rPr>
          <w:rFonts w:hint="eastAsia" w:ascii="宋体" w:hAnsi="宋体" w:eastAsia="宋体" w:cs="宋体"/>
          <w:color w:val="auto"/>
          <w:sz w:val="24"/>
          <w:szCs w:val="28"/>
        </w:rPr>
        <w:t>项目概况</w:t>
      </w:r>
    </w:p>
    <w:p w14:paraId="42C0E337">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color w:val="auto"/>
          <w:sz w:val="24"/>
          <w:szCs w:val="28"/>
          <w:u w:val="single"/>
        </w:rPr>
      </w:pPr>
      <w:r>
        <w:rPr>
          <w:rFonts w:hint="eastAsia" w:ascii="宋体" w:hAnsi="宋体" w:eastAsia="宋体" w:cs="宋体"/>
          <w:b/>
          <w:bCs/>
          <w:color w:val="auto"/>
          <w:sz w:val="24"/>
          <w:szCs w:val="28"/>
          <w:u w:val="single"/>
          <w:lang w:eastAsia="zh-CN"/>
        </w:rPr>
        <w:t>连云港开放大学图书馆外墙翻新维修（专门面向中小企业）</w:t>
      </w:r>
      <w:r>
        <w:rPr>
          <w:rFonts w:hint="eastAsia" w:ascii="宋体" w:hAnsi="宋体" w:eastAsia="宋体" w:cs="宋体"/>
          <w:color w:val="auto"/>
          <w:sz w:val="24"/>
          <w:szCs w:val="28"/>
        </w:rPr>
        <w:t>的潜在供应商应在</w:t>
      </w:r>
      <w:r>
        <w:rPr>
          <w:rFonts w:hint="eastAsia" w:ascii="宋体" w:hAnsi="宋体" w:eastAsia="宋体" w:cs="宋体"/>
          <w:b/>
          <w:bCs/>
          <w:color w:val="auto"/>
          <w:sz w:val="24"/>
          <w:szCs w:val="28"/>
          <w:u w:val="single"/>
        </w:rPr>
        <w:t>“江苏政府采购网”自行免费下载</w:t>
      </w:r>
      <w:r>
        <w:rPr>
          <w:rFonts w:hint="eastAsia" w:ascii="宋体" w:hAnsi="宋体" w:eastAsia="宋体" w:cs="宋体"/>
          <w:color w:val="auto"/>
          <w:sz w:val="24"/>
          <w:szCs w:val="28"/>
        </w:rPr>
        <w:t>竞争性磋商文件，并于</w:t>
      </w:r>
      <w:r>
        <w:rPr>
          <w:rFonts w:hint="eastAsia" w:ascii="宋体" w:hAnsi="宋体" w:cs="宋体"/>
          <w:b/>
          <w:bCs/>
          <w:color w:val="auto"/>
          <w:sz w:val="24"/>
          <w:szCs w:val="28"/>
          <w:u w:val="single"/>
          <w:lang w:eastAsia="zh-CN"/>
        </w:rPr>
        <w:t>202</w:t>
      </w:r>
      <w:r>
        <w:rPr>
          <w:rFonts w:hint="eastAsia" w:ascii="宋体" w:hAnsi="宋体" w:cs="宋体"/>
          <w:b/>
          <w:bCs/>
          <w:color w:val="auto"/>
          <w:sz w:val="24"/>
          <w:szCs w:val="28"/>
          <w:u w:val="single"/>
          <w:lang w:val="en-US" w:eastAsia="zh-CN"/>
        </w:rPr>
        <w:t>6</w:t>
      </w:r>
      <w:r>
        <w:rPr>
          <w:rFonts w:hint="eastAsia" w:ascii="宋体" w:hAnsi="宋体" w:cs="宋体"/>
          <w:b/>
          <w:bCs/>
          <w:color w:val="auto"/>
          <w:sz w:val="24"/>
          <w:szCs w:val="28"/>
          <w:u w:val="single"/>
          <w:lang w:eastAsia="zh-CN"/>
        </w:rPr>
        <w:t>年</w:t>
      </w:r>
      <w:r>
        <w:rPr>
          <w:rFonts w:hint="eastAsia" w:ascii="宋体" w:hAnsi="宋体" w:cs="宋体"/>
          <w:b/>
          <w:bCs/>
          <w:color w:val="auto"/>
          <w:sz w:val="24"/>
          <w:szCs w:val="28"/>
          <w:u w:val="single"/>
          <w:lang w:val="en-US" w:eastAsia="zh-CN"/>
        </w:rPr>
        <w:t>07</w:t>
      </w:r>
      <w:r>
        <w:rPr>
          <w:rFonts w:hint="eastAsia" w:ascii="宋体" w:hAnsi="宋体" w:cs="宋体"/>
          <w:b/>
          <w:bCs/>
          <w:color w:val="auto"/>
          <w:sz w:val="24"/>
          <w:szCs w:val="28"/>
          <w:u w:val="single"/>
          <w:lang w:eastAsia="zh-CN"/>
        </w:rPr>
        <w:t>月</w:t>
      </w:r>
      <w:r>
        <w:rPr>
          <w:rFonts w:hint="eastAsia" w:ascii="宋体" w:hAnsi="宋体" w:cs="宋体"/>
          <w:b/>
          <w:bCs/>
          <w:color w:val="auto"/>
          <w:sz w:val="24"/>
          <w:szCs w:val="28"/>
          <w:u w:val="single"/>
          <w:lang w:val="en-US" w:eastAsia="zh-CN"/>
        </w:rPr>
        <w:t>28</w:t>
      </w:r>
      <w:r>
        <w:rPr>
          <w:rFonts w:hint="eastAsia" w:ascii="宋体" w:hAnsi="宋体" w:cs="宋体"/>
          <w:b/>
          <w:bCs/>
          <w:color w:val="auto"/>
          <w:sz w:val="24"/>
          <w:szCs w:val="28"/>
          <w:u w:val="single"/>
          <w:lang w:eastAsia="zh-CN"/>
        </w:rPr>
        <w:t>日</w:t>
      </w:r>
      <w:r>
        <w:rPr>
          <w:rFonts w:hint="eastAsia" w:ascii="宋体" w:hAnsi="宋体" w:cs="宋体"/>
          <w:b/>
          <w:bCs/>
          <w:color w:val="auto"/>
          <w:sz w:val="24"/>
          <w:szCs w:val="28"/>
          <w:u w:val="single"/>
          <w:lang w:val="en-US" w:eastAsia="zh-CN"/>
        </w:rPr>
        <w:t>09</w:t>
      </w:r>
      <w:r>
        <w:rPr>
          <w:rFonts w:hint="eastAsia" w:ascii="宋体" w:hAnsi="宋体" w:eastAsia="宋体" w:cs="宋体"/>
          <w:b/>
          <w:bCs/>
          <w:color w:val="auto"/>
          <w:sz w:val="24"/>
          <w:szCs w:val="28"/>
          <w:u w:val="single"/>
        </w:rPr>
        <w:t>时</w:t>
      </w:r>
      <w:r>
        <w:rPr>
          <w:rFonts w:hint="eastAsia" w:ascii="宋体" w:hAnsi="宋体" w:cs="宋体"/>
          <w:b/>
          <w:bCs/>
          <w:color w:val="auto"/>
          <w:sz w:val="24"/>
          <w:szCs w:val="28"/>
          <w:u w:val="single"/>
          <w:lang w:val="en-US" w:eastAsia="zh-CN"/>
        </w:rPr>
        <w:t>00</w:t>
      </w:r>
      <w:r>
        <w:rPr>
          <w:rFonts w:hint="eastAsia" w:ascii="宋体" w:hAnsi="宋体" w:eastAsia="宋体" w:cs="宋体"/>
          <w:b/>
          <w:bCs/>
          <w:color w:val="auto"/>
          <w:sz w:val="24"/>
          <w:szCs w:val="28"/>
          <w:u w:val="single"/>
        </w:rPr>
        <w:t>分00秒</w:t>
      </w:r>
      <w:r>
        <w:rPr>
          <w:rFonts w:hint="eastAsia" w:ascii="宋体" w:hAnsi="宋体" w:eastAsia="宋体" w:cs="宋体"/>
          <w:color w:val="auto"/>
          <w:sz w:val="24"/>
          <w:szCs w:val="28"/>
        </w:rPr>
        <w:t xml:space="preserve">（北京时间）前上传电子响应文件。 </w:t>
      </w:r>
    </w:p>
    <w:p w14:paraId="2CCEDA6B">
      <w:pPr>
        <w:spacing w:line="360" w:lineRule="auto"/>
        <w:ind w:firstLine="482"/>
        <w:outlineLvl w:val="1"/>
        <w:rPr>
          <w:rFonts w:hint="eastAsia" w:ascii="宋体" w:hAnsi="宋体" w:eastAsia="宋体" w:cs="宋体"/>
          <w:b/>
          <w:color w:val="auto"/>
          <w:sz w:val="24"/>
        </w:rPr>
      </w:pPr>
      <w:bookmarkStart w:id="25" w:name="_Toc31841"/>
      <w:bookmarkStart w:id="26" w:name="_Toc25558"/>
      <w:bookmarkStart w:id="27" w:name="_Toc28804"/>
      <w:r>
        <w:rPr>
          <w:rFonts w:hint="eastAsia" w:ascii="宋体" w:hAnsi="宋体" w:eastAsia="宋体" w:cs="宋体"/>
          <w:b/>
          <w:color w:val="auto"/>
          <w:sz w:val="24"/>
        </w:rPr>
        <w:t>一、项目基本情况</w:t>
      </w:r>
      <w:bookmarkEnd w:id="21"/>
      <w:bookmarkEnd w:id="22"/>
      <w:bookmarkEnd w:id="23"/>
      <w:bookmarkEnd w:id="24"/>
      <w:bookmarkEnd w:id="25"/>
      <w:bookmarkEnd w:id="26"/>
      <w:bookmarkEnd w:id="27"/>
    </w:p>
    <w:p w14:paraId="482CF77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1、项目编号：JSZC-320700-JSGH-C2026-0006</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p>
    <w:p w14:paraId="37FCCEC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2、项目名称：</w:t>
      </w:r>
      <w:r>
        <w:rPr>
          <w:rFonts w:hint="eastAsia" w:ascii="宋体" w:hAnsi="宋体" w:cs="宋体"/>
          <w:color w:val="auto"/>
          <w:sz w:val="24"/>
          <w:lang w:eastAsia="zh-CN"/>
        </w:rPr>
        <w:t>连云港开放大学图书馆外墙翻</w:t>
      </w:r>
      <w:r>
        <w:rPr>
          <w:rFonts w:hint="eastAsia" w:ascii="宋体" w:hAnsi="宋体" w:eastAsia="宋体" w:cs="宋体"/>
          <w:color w:val="auto"/>
          <w:sz w:val="24"/>
          <w:lang w:eastAsia="zh-CN"/>
        </w:rPr>
        <w:t>新维修（专门面向中小企业）</w:t>
      </w:r>
      <w:r>
        <w:rPr>
          <w:rFonts w:hint="eastAsia" w:ascii="宋体" w:hAnsi="宋体" w:eastAsia="宋体" w:cs="宋体"/>
          <w:color w:val="auto"/>
          <w:sz w:val="24"/>
        </w:rPr>
        <w:t>；</w:t>
      </w:r>
    </w:p>
    <w:p w14:paraId="4D821EC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3、采购方式：竞争性磋商；</w:t>
      </w:r>
    </w:p>
    <w:p w14:paraId="6B71EDB1">
      <w:pPr>
        <w:spacing w:line="360" w:lineRule="auto"/>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4、预算金额：110万元</w:t>
      </w:r>
    </w:p>
    <w:p w14:paraId="29E3C997">
      <w:pPr>
        <w:spacing w:line="360" w:lineRule="auto"/>
        <w:ind w:firstLine="480"/>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5、</w:t>
      </w:r>
      <w:r>
        <w:rPr>
          <w:rFonts w:hint="default" w:ascii="宋体" w:hAnsi="宋体" w:cs="宋体"/>
          <w:color w:val="auto"/>
          <w:sz w:val="24"/>
          <w:highlight w:val="none"/>
          <w:lang w:val="en-US" w:eastAsia="zh-CN"/>
        </w:rPr>
        <w:t>最高限价：</w:t>
      </w:r>
      <w:r>
        <w:rPr>
          <w:rFonts w:hint="eastAsia" w:ascii="宋体" w:hAnsi="宋体" w:cs="宋体"/>
          <w:color w:val="auto"/>
          <w:sz w:val="24"/>
          <w:highlight w:val="none"/>
          <w:lang w:val="en-US" w:eastAsia="zh-CN"/>
        </w:rPr>
        <w:t>1097481.75元</w:t>
      </w:r>
      <w:r>
        <w:rPr>
          <w:rFonts w:hint="default" w:ascii="宋体" w:hAnsi="宋体" w:cs="宋体"/>
          <w:color w:val="auto"/>
          <w:sz w:val="24"/>
          <w:highlight w:val="none"/>
          <w:lang w:val="en-US" w:eastAsia="zh-CN"/>
        </w:rPr>
        <w:t>，报价超过</w:t>
      </w:r>
      <w:r>
        <w:rPr>
          <w:rFonts w:hint="eastAsia" w:ascii="宋体" w:hAnsi="宋体" w:cs="宋体"/>
          <w:color w:val="auto"/>
          <w:sz w:val="24"/>
          <w:highlight w:val="none"/>
          <w:lang w:val="en-US" w:eastAsia="zh-CN"/>
        </w:rPr>
        <w:t>最高限价</w:t>
      </w:r>
      <w:r>
        <w:rPr>
          <w:rFonts w:hint="default" w:ascii="宋体" w:hAnsi="宋体" w:cs="宋体"/>
          <w:color w:val="auto"/>
          <w:sz w:val="24"/>
          <w:highlight w:val="none"/>
          <w:lang w:val="en-US" w:eastAsia="zh-CN"/>
        </w:rPr>
        <w:t>的按无效响应处理</w:t>
      </w:r>
      <w:r>
        <w:rPr>
          <w:rFonts w:hint="eastAsia" w:ascii="宋体" w:hAnsi="宋体" w:cs="宋体"/>
          <w:color w:val="auto"/>
          <w:sz w:val="24"/>
          <w:highlight w:val="none"/>
          <w:lang w:val="en-US" w:eastAsia="zh-CN"/>
        </w:rPr>
        <w:t>；</w:t>
      </w:r>
    </w:p>
    <w:p w14:paraId="2B1B5766">
      <w:pPr>
        <w:spacing w:line="360" w:lineRule="auto"/>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建设地点：</w:t>
      </w:r>
      <w:r>
        <w:rPr>
          <w:rFonts w:hint="eastAsia" w:ascii="宋体" w:hAnsi="宋体" w:cs="宋体"/>
          <w:color w:val="auto"/>
          <w:sz w:val="24"/>
          <w:highlight w:val="none"/>
          <w:lang w:val="en-US" w:eastAsia="zh-CN"/>
        </w:rPr>
        <w:t>连云港开放大学校内；</w:t>
      </w:r>
    </w:p>
    <w:p w14:paraId="1EAAF812">
      <w:pPr>
        <w:spacing w:line="360"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7、工程范围</w:t>
      </w:r>
      <w:r>
        <w:rPr>
          <w:rFonts w:hint="eastAsia" w:ascii="宋体" w:hAnsi="宋体" w:eastAsia="宋体" w:cs="宋体"/>
          <w:color w:val="auto"/>
          <w:sz w:val="24"/>
          <w:highlight w:val="none"/>
        </w:rPr>
        <w:t>：</w:t>
      </w:r>
      <w:r>
        <w:rPr>
          <w:rFonts w:hint="eastAsia" w:ascii="宋体" w:hAnsi="宋体" w:cs="宋体"/>
          <w:color w:val="auto"/>
          <w:sz w:val="24"/>
          <w:lang w:eastAsia="zh-CN"/>
        </w:rPr>
        <w:t>连云港开放大学图书馆外墙翻新维修，</w:t>
      </w:r>
      <w:r>
        <w:rPr>
          <w:rFonts w:hint="eastAsia" w:ascii="宋体" w:hAnsi="宋体" w:eastAsia="宋体" w:cs="宋体"/>
          <w:color w:val="auto"/>
          <w:sz w:val="24"/>
          <w:highlight w:val="none"/>
          <w:lang w:val="en-US" w:eastAsia="zh-CN"/>
        </w:rPr>
        <w:t>具体详见工程量清单</w:t>
      </w:r>
      <w:r>
        <w:rPr>
          <w:rFonts w:hint="eastAsia" w:ascii="宋体" w:hAnsi="宋体" w:cs="宋体"/>
          <w:color w:val="auto"/>
          <w:sz w:val="24"/>
          <w:highlight w:val="none"/>
          <w:lang w:val="en-US" w:eastAsia="zh-CN"/>
        </w:rPr>
        <w:t>及图纸</w:t>
      </w:r>
      <w:r>
        <w:rPr>
          <w:rFonts w:hint="eastAsia" w:ascii="宋体" w:hAnsi="宋体" w:eastAsia="宋体" w:cs="宋体"/>
          <w:color w:val="auto"/>
          <w:sz w:val="24"/>
          <w:highlight w:val="none"/>
        </w:rPr>
        <w:t>；</w:t>
      </w:r>
    </w:p>
    <w:p w14:paraId="4CA9E68B">
      <w:pPr>
        <w:spacing w:line="360"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、承包方式：包工包料；</w:t>
      </w:r>
    </w:p>
    <w:p w14:paraId="4ACEE4B0">
      <w:pPr>
        <w:spacing w:line="360"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、质量标准：合格；</w:t>
      </w:r>
    </w:p>
    <w:p w14:paraId="1628383A">
      <w:pPr>
        <w:spacing w:line="360"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、工期：</w:t>
      </w:r>
      <w:r>
        <w:rPr>
          <w:rFonts w:hint="eastAsia" w:ascii="宋体" w:hAnsi="宋体" w:cs="宋体"/>
          <w:color w:val="auto"/>
          <w:sz w:val="24"/>
          <w:highlight w:val="none"/>
          <w:lang w:val="en-US" w:eastAsia="zh-CN"/>
        </w:rPr>
        <w:t>45日历天</w:t>
      </w:r>
      <w:r>
        <w:rPr>
          <w:rFonts w:hint="eastAsia" w:ascii="宋体" w:hAnsi="宋体" w:eastAsia="宋体" w:cs="宋体"/>
          <w:color w:val="auto"/>
          <w:sz w:val="24"/>
          <w:highlight w:val="none"/>
        </w:rPr>
        <w:t>（具体开工日期以采购人发出的书面开工令为准）；</w:t>
      </w:r>
    </w:p>
    <w:p w14:paraId="2D73467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、本项目不接受联合体参加磋商。</w:t>
      </w:r>
    </w:p>
    <w:p w14:paraId="79793DE3">
      <w:pPr>
        <w:spacing w:line="360" w:lineRule="auto"/>
        <w:ind w:firstLine="482"/>
        <w:outlineLvl w:val="1"/>
        <w:rPr>
          <w:rFonts w:hint="eastAsia" w:ascii="宋体" w:hAnsi="宋体" w:eastAsia="宋体" w:cs="宋体"/>
          <w:b/>
          <w:color w:val="auto"/>
          <w:sz w:val="24"/>
        </w:rPr>
      </w:pPr>
      <w:bookmarkStart w:id="28" w:name="_Toc35393630"/>
      <w:bookmarkStart w:id="29" w:name="_Toc28359090"/>
      <w:bookmarkStart w:id="30" w:name="_Toc28359013"/>
      <w:bookmarkStart w:id="31" w:name="_Toc28420"/>
      <w:bookmarkStart w:id="32" w:name="_Toc29703"/>
      <w:bookmarkStart w:id="33" w:name="_Toc35393799"/>
      <w:bookmarkStart w:id="34" w:name="_Toc12594"/>
      <w:r>
        <w:rPr>
          <w:rFonts w:hint="eastAsia" w:ascii="宋体" w:hAnsi="宋体" w:eastAsia="宋体" w:cs="宋体"/>
          <w:b/>
          <w:color w:val="auto"/>
          <w:sz w:val="24"/>
        </w:rPr>
        <w:t>二、申请人的资格要求</w:t>
      </w:r>
      <w:bookmarkEnd w:id="28"/>
      <w:bookmarkEnd w:id="29"/>
      <w:bookmarkEnd w:id="30"/>
      <w:bookmarkEnd w:id="31"/>
      <w:bookmarkEnd w:id="32"/>
      <w:bookmarkEnd w:id="33"/>
      <w:bookmarkEnd w:id="34"/>
    </w:p>
    <w:p w14:paraId="27CFCB79">
      <w:pPr>
        <w:pStyle w:val="252"/>
        <w:spacing w:line="360" w:lineRule="auto"/>
        <w:rPr>
          <w:rFonts w:hint="eastAsia" w:ascii="宋体" w:hAnsi="宋体" w:eastAsia="宋体" w:cs="宋体"/>
          <w:bCs/>
          <w:color w:val="auto"/>
          <w:sz w:val="24"/>
        </w:rPr>
      </w:pPr>
      <w:r>
        <w:rPr>
          <w:rFonts w:hint="eastAsia" w:ascii="宋体" w:hAnsi="宋体" w:eastAsia="宋体" w:cs="宋体"/>
          <w:bCs/>
          <w:color w:val="auto"/>
          <w:sz w:val="24"/>
          <w:lang w:val="en-US"/>
        </w:rPr>
        <w:t>1、满足《中华人民共和国政府采购法》第二十二条规定，提供下列材料：</w:t>
      </w:r>
    </w:p>
    <w:p w14:paraId="379B218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（1）法人或者其他组织的营业执照等证明文件，自然人的身份证明；</w:t>
      </w:r>
    </w:p>
    <w:p w14:paraId="4FD01B4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（2）具有良好的商业信誉和健全的财务会计制度（按连财购〔2023〕4号文件要求，可以提供《财务状况报告及税收、社会保障资金缴纳情况承诺函》，并上传至电子投标文件中，详见采购文件格式）；</w:t>
      </w:r>
    </w:p>
    <w:p w14:paraId="1925A1D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（3）依法缴纳税收和社会保障资金的相关证明材料（按连财购〔2023〕4号文件要求，可以提供《财务状况报告及税收、社会保障资金缴纳情况承诺函》，并上传至电子投标文件中，详见采购文件格式）；</w:t>
      </w:r>
    </w:p>
    <w:p w14:paraId="197DC55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（4）具备履行合同所必需的设备和专业技术能力的书面声明</w:t>
      </w:r>
      <w:r>
        <w:rPr>
          <w:rFonts w:hint="eastAsia" w:ascii="宋体" w:hAnsi="宋体" w:cs="宋体"/>
          <w:color w:val="auto"/>
          <w:sz w:val="24"/>
          <w:lang w:val="en-US" w:eastAsia="zh-CN"/>
        </w:rPr>
        <w:t>及证明材料</w:t>
      </w:r>
      <w:r>
        <w:rPr>
          <w:rFonts w:hint="eastAsia" w:ascii="宋体" w:hAnsi="宋体" w:eastAsia="宋体" w:cs="宋体"/>
          <w:color w:val="auto"/>
          <w:sz w:val="24"/>
        </w:rPr>
        <w:t>；</w:t>
      </w:r>
    </w:p>
    <w:p w14:paraId="75EF712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（5）参加政府采购活动前3年内在经营活动中没有重大违法记录的书面声明。</w:t>
      </w:r>
    </w:p>
    <w:p w14:paraId="05EF8429">
      <w:pPr>
        <w:spacing w:line="360" w:lineRule="auto"/>
        <w:ind w:firstLine="480"/>
        <w:rPr>
          <w:rFonts w:hint="eastAsia" w:ascii="宋体" w:hAnsi="宋体" w:eastAsia="宋体" w:cs="宋体"/>
          <w:color w:val="auto"/>
          <w:sz w:val="24"/>
          <w:highlight w:val="yellow"/>
        </w:rPr>
      </w:pPr>
      <w:r>
        <w:rPr>
          <w:rFonts w:hint="eastAsia" w:ascii="宋体" w:hAnsi="宋体" w:eastAsia="宋体" w:cs="宋体"/>
          <w:color w:val="auto"/>
          <w:sz w:val="24"/>
          <w:highlight w:val="none"/>
        </w:rPr>
        <w:t>2、落实政府采购需满足的资格要求：</w:t>
      </w:r>
      <w:r>
        <w:rPr>
          <w:rFonts w:hint="eastAsia" w:ascii="宋体" w:hAnsi="宋体" w:cs="宋体"/>
          <w:color w:val="auto"/>
          <w:sz w:val="24"/>
          <w:highlight w:val="none"/>
          <w:lang w:val="en-US" w:eastAsia="zh-CN"/>
        </w:rPr>
        <w:t>执行</w:t>
      </w:r>
      <w:r>
        <w:rPr>
          <w:rFonts w:hint="eastAsia" w:ascii="宋体" w:hAnsi="宋体" w:eastAsia="宋体" w:cs="宋体"/>
          <w:color w:val="auto"/>
          <w:sz w:val="24"/>
          <w:highlight w:val="none"/>
        </w:rPr>
        <w:t>财政部、工业和信息化部关于印发《</w:t>
      </w:r>
      <w:r>
        <w:rPr>
          <w:rFonts w:hint="eastAsia" w:ascii="宋体" w:hAnsi="宋体" w:cs="宋体"/>
          <w:color w:val="auto"/>
          <w:sz w:val="24"/>
          <w:highlight w:val="none"/>
          <w:lang w:eastAsia="zh-CN"/>
        </w:rPr>
        <w:t>政府采购促进中小企业发展管理办法</w:t>
      </w:r>
      <w:r>
        <w:rPr>
          <w:rFonts w:hint="eastAsia" w:ascii="宋体" w:hAnsi="宋体" w:eastAsia="宋体" w:cs="宋体"/>
          <w:color w:val="auto"/>
          <w:sz w:val="24"/>
          <w:highlight w:val="none"/>
        </w:rPr>
        <w:t>》的通知（财库〔2020〕46号）等相关文件要求，</w:t>
      </w:r>
      <w:r>
        <w:rPr>
          <w:rFonts w:hint="eastAsia" w:ascii="宋体" w:hAnsi="宋体" w:eastAsia="宋体" w:cs="宋体"/>
          <w:b/>
          <w:bCs/>
          <w:color w:val="auto"/>
          <w:sz w:val="24"/>
          <w:highlight w:val="none"/>
        </w:rPr>
        <w:t>本项目专门面向中型企业、小型企业、微型企业、残疾人福利性单位、监狱企业进行采购</w:t>
      </w:r>
      <w:r>
        <w:rPr>
          <w:rFonts w:hint="eastAsia" w:ascii="宋体" w:hAnsi="宋体" w:eastAsia="宋体" w:cs="宋体"/>
          <w:color w:val="auto"/>
          <w:sz w:val="24"/>
          <w:highlight w:val="none"/>
        </w:rPr>
        <w:t>。（符合要求的供应商须提供《中小企业声明函》或《残疾人福利性单位声明函》或属于监狱企业的证明文件，否则响应无效）。</w:t>
      </w:r>
    </w:p>
    <w:p w14:paraId="0B2129F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3、本项目的特定资格要求：</w:t>
      </w:r>
    </w:p>
    <w:p w14:paraId="799BFA14">
      <w:pPr>
        <w:spacing w:line="360" w:lineRule="auto"/>
        <w:ind w:firstLine="480"/>
        <w:rPr>
          <w:rFonts w:hint="eastAsia" w:ascii="宋体" w:hAnsi="宋体" w:eastAsia="宋体" w:cs="宋体"/>
          <w:color w:val="auto"/>
          <w:sz w:val="24"/>
          <w:highlight w:val="none"/>
        </w:rPr>
      </w:pPr>
      <w:bookmarkStart w:id="35" w:name="_Toc28359091"/>
      <w:bookmarkStart w:id="36" w:name="_Toc28359014"/>
      <w:r>
        <w:rPr>
          <w:rFonts w:hint="eastAsia" w:ascii="宋体" w:hAnsi="宋体" w:eastAsia="宋体" w:cs="宋体"/>
          <w:color w:val="auto"/>
          <w:sz w:val="24"/>
        </w:rPr>
        <w:t>（1）</w:t>
      </w:r>
      <w:r>
        <w:rPr>
          <w:rFonts w:hint="eastAsia" w:ascii="宋体" w:hAnsi="宋体" w:cs="宋体"/>
          <w:color w:val="auto"/>
          <w:sz w:val="24"/>
          <w:lang w:val="en-US" w:eastAsia="zh-CN"/>
        </w:rPr>
        <w:t>投标人</w:t>
      </w:r>
      <w:r>
        <w:rPr>
          <w:rFonts w:hint="eastAsia" w:ascii="宋体" w:hAnsi="宋体" w:eastAsia="宋体" w:cs="宋体"/>
          <w:color w:val="auto"/>
          <w:sz w:val="24"/>
        </w:rPr>
        <w:t>须具备建设行政主管部门核发</w:t>
      </w:r>
      <w:r>
        <w:rPr>
          <w:rFonts w:hint="eastAsia" w:ascii="宋体" w:hAnsi="宋体" w:eastAsia="宋体" w:cs="宋体"/>
          <w:color w:val="auto"/>
          <w:sz w:val="24"/>
          <w:highlight w:val="none"/>
        </w:rPr>
        <w:t>的</w:t>
      </w:r>
      <w:r>
        <w:rPr>
          <w:rFonts w:hint="eastAsia" w:ascii="宋体" w:hAnsi="宋体"/>
          <w:b/>
          <w:bCs/>
          <w:sz w:val="24"/>
          <w:szCs w:val="24"/>
          <w:highlight w:val="none"/>
          <w:u w:val="none"/>
          <w:shd w:val="clear" w:color="auto" w:fill="FFFFFF" w:themeFill="background1"/>
          <w:lang w:eastAsia="zh-CN"/>
        </w:rPr>
        <w:t>建筑</w:t>
      </w:r>
      <w:r>
        <w:rPr>
          <w:rFonts w:hint="eastAsia" w:ascii="宋体" w:hAnsi="宋体" w:eastAsia="宋体"/>
          <w:b/>
          <w:bCs/>
          <w:sz w:val="24"/>
          <w:szCs w:val="24"/>
          <w:highlight w:val="none"/>
          <w:u w:val="none"/>
          <w:shd w:val="clear" w:color="auto" w:fill="FFFFFF" w:themeFill="background1"/>
        </w:rPr>
        <w:t>工程</w:t>
      </w:r>
      <w:r>
        <w:rPr>
          <w:rFonts w:hint="eastAsia" w:ascii="宋体" w:hAnsi="宋体"/>
          <w:b/>
          <w:bCs/>
          <w:sz w:val="24"/>
          <w:szCs w:val="24"/>
          <w:highlight w:val="none"/>
          <w:u w:val="none"/>
          <w:shd w:val="clear" w:color="auto" w:fill="FFFFFF" w:themeFill="background1"/>
          <w:lang w:eastAsia="zh-CN"/>
        </w:rPr>
        <w:t>施工总</w:t>
      </w:r>
      <w:r>
        <w:rPr>
          <w:rFonts w:hint="eastAsia" w:ascii="宋体" w:hAnsi="宋体" w:eastAsia="宋体"/>
          <w:b/>
          <w:bCs/>
          <w:sz w:val="24"/>
          <w:szCs w:val="24"/>
          <w:highlight w:val="none"/>
          <w:u w:val="none"/>
          <w:shd w:val="clear" w:color="auto" w:fill="FFFFFF" w:themeFill="background1"/>
        </w:rPr>
        <w:t>承包</w:t>
      </w:r>
      <w:r>
        <w:rPr>
          <w:rFonts w:hint="eastAsia" w:ascii="宋体" w:hAnsi="宋体"/>
          <w:b/>
          <w:bCs/>
          <w:sz w:val="24"/>
          <w:szCs w:val="24"/>
          <w:highlight w:val="none"/>
          <w:u w:val="none"/>
          <w:shd w:val="clear" w:color="auto" w:fill="FFFFFF" w:themeFill="background1"/>
          <w:lang w:eastAsia="zh-CN"/>
        </w:rPr>
        <w:t>三</w:t>
      </w:r>
      <w:r>
        <w:rPr>
          <w:rFonts w:hint="eastAsia" w:ascii="宋体" w:hAnsi="宋体" w:eastAsia="宋体"/>
          <w:b/>
          <w:bCs/>
          <w:sz w:val="24"/>
          <w:szCs w:val="24"/>
          <w:highlight w:val="none"/>
          <w:u w:val="none"/>
          <w:shd w:val="clear" w:color="auto" w:fill="FFFFFF" w:themeFill="background1"/>
        </w:rPr>
        <w:t>级及以上</w:t>
      </w:r>
      <w:r>
        <w:rPr>
          <w:rFonts w:hint="eastAsia" w:ascii="宋体" w:hAnsi="宋体" w:eastAsia="宋体" w:cs="宋体"/>
          <w:b/>
          <w:bCs/>
          <w:color w:val="auto"/>
          <w:sz w:val="24"/>
          <w:highlight w:val="none"/>
          <w:u w:val="none"/>
        </w:rPr>
        <w:t>资质</w:t>
      </w:r>
      <w:r>
        <w:rPr>
          <w:rFonts w:hint="eastAsia" w:ascii="宋体" w:hAnsi="宋体" w:eastAsia="宋体" w:cs="宋体"/>
          <w:b/>
          <w:bCs/>
          <w:color w:val="auto"/>
          <w:sz w:val="24"/>
          <w:highlight w:val="none"/>
        </w:rPr>
        <w:t>，且具有建设主管部门颁发的安全生产许可证（在有效期内）。</w:t>
      </w:r>
    </w:p>
    <w:p w14:paraId="5414C80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highlight w:val="none"/>
        </w:rPr>
        <w:t>（2）拟派项目负责人须具备建设行政主管部门核发</w:t>
      </w:r>
      <w:r>
        <w:rPr>
          <w:rFonts w:hint="eastAsia" w:ascii="宋体" w:hAnsi="宋体" w:cs="宋体"/>
          <w:color w:val="auto"/>
          <w:sz w:val="24"/>
          <w:highlight w:val="none"/>
          <w:lang w:eastAsia="zh-CN"/>
        </w:rPr>
        <w:t>的</w:t>
      </w:r>
      <w:r>
        <w:rPr>
          <w:rFonts w:hint="eastAsia" w:ascii="宋体" w:hAnsi="宋体" w:cs="宋体"/>
          <w:b/>
          <w:bCs/>
          <w:color w:val="auto"/>
          <w:sz w:val="24"/>
          <w:highlight w:val="none"/>
          <w:u w:val="none"/>
          <w:lang w:eastAsia="zh-CN"/>
        </w:rPr>
        <w:t>建筑</w:t>
      </w:r>
      <w:r>
        <w:rPr>
          <w:rFonts w:hint="eastAsia" w:ascii="宋体" w:hAnsi="宋体" w:eastAsia="宋体" w:cs="宋体"/>
          <w:b/>
          <w:bCs/>
          <w:color w:val="auto"/>
          <w:sz w:val="24"/>
          <w:highlight w:val="none"/>
          <w:u w:val="none"/>
        </w:rPr>
        <w:t>工程专业二级注册建造师及以上资格证书（有效的）</w:t>
      </w:r>
      <w:r>
        <w:rPr>
          <w:rFonts w:hint="eastAsia" w:ascii="宋体" w:hAnsi="宋体" w:eastAsia="宋体" w:cs="宋体"/>
          <w:b/>
          <w:bCs/>
          <w:color w:val="auto"/>
          <w:sz w:val="24"/>
        </w:rPr>
        <w:t>并具有安全生产考核合格证书（B 类）（有效期内）</w:t>
      </w:r>
      <w:r>
        <w:rPr>
          <w:rFonts w:hint="eastAsia" w:ascii="宋体" w:hAnsi="宋体" w:eastAsia="宋体" w:cs="宋体"/>
          <w:color w:val="auto"/>
          <w:sz w:val="24"/>
        </w:rPr>
        <w:t>；</w:t>
      </w:r>
    </w:p>
    <w:p w14:paraId="7C41FD9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（3）拟派项目负责人必须为供应商的员工，提供</w:t>
      </w:r>
      <w:r>
        <w:rPr>
          <w:rFonts w:hint="eastAsia" w:ascii="宋体" w:hAnsi="宋体" w:eastAsia="宋体" w:cs="宋体"/>
          <w:b/>
          <w:bCs/>
          <w:color w:val="auto"/>
          <w:sz w:val="24"/>
        </w:rPr>
        <w:t>202</w:t>
      </w:r>
      <w:r>
        <w:rPr>
          <w:rFonts w:hint="eastAsia" w:ascii="宋体" w:hAnsi="宋体" w:cs="宋体"/>
          <w:b/>
          <w:bCs/>
          <w:color w:val="auto"/>
          <w:sz w:val="24"/>
          <w:lang w:val="en-US" w:eastAsia="zh-CN"/>
        </w:rPr>
        <w:t>6</w:t>
      </w:r>
      <w:r>
        <w:rPr>
          <w:rFonts w:hint="eastAsia" w:ascii="宋体" w:hAnsi="宋体" w:eastAsia="宋体" w:cs="宋体"/>
          <w:b/>
          <w:bCs/>
          <w:color w:val="auto"/>
          <w:sz w:val="24"/>
        </w:rPr>
        <w:t>年</w:t>
      </w:r>
      <w:r>
        <w:rPr>
          <w:rFonts w:hint="eastAsia" w:ascii="宋体" w:hAnsi="宋体" w:cs="宋体"/>
          <w:b/>
          <w:bCs/>
          <w:color w:val="auto"/>
          <w:sz w:val="24"/>
          <w:lang w:val="en-US" w:eastAsia="zh-CN"/>
        </w:rPr>
        <w:t>1</w:t>
      </w:r>
      <w:r>
        <w:rPr>
          <w:rFonts w:hint="eastAsia" w:ascii="宋体" w:hAnsi="宋体" w:eastAsia="宋体" w:cs="宋体"/>
          <w:b/>
          <w:bCs/>
          <w:color w:val="auto"/>
          <w:sz w:val="24"/>
        </w:rPr>
        <w:t>月至今任意一个月</w:t>
      </w:r>
      <w:r>
        <w:rPr>
          <w:rFonts w:hint="eastAsia" w:ascii="宋体" w:hAnsi="宋体" w:eastAsia="宋体" w:cs="宋体"/>
          <w:color w:val="auto"/>
          <w:sz w:val="24"/>
        </w:rPr>
        <w:t>由供应商为其缴纳的社保缴纳证明（加盖社保中心章或社保中心参保缴费证明电子专用章）；</w:t>
      </w:r>
    </w:p>
    <w:p w14:paraId="6FF25ACA">
      <w:pPr>
        <w:widowControl w:val="0"/>
        <w:spacing w:line="360" w:lineRule="auto"/>
        <w:ind w:firstLine="480"/>
        <w:jc w:val="left"/>
        <w:rPr>
          <w:rFonts w:hint="eastAsia" w:ascii="宋体" w:hAnsi="宋体" w:eastAsia="宋体" w:cs="Times New Roman"/>
          <w:color w:val="auto"/>
          <w:sz w:val="24"/>
          <w:szCs w:val="24"/>
          <w:highlight w:val="none"/>
          <w:lang w:val="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w:t>
      </w:r>
      <w:r>
        <w:rPr>
          <w:rFonts w:hint="eastAsia" w:ascii="宋体" w:hAnsi="宋体" w:eastAsia="宋体" w:cs="Times New Roman"/>
          <w:color w:val="auto"/>
          <w:sz w:val="24"/>
          <w:szCs w:val="24"/>
          <w:highlight w:val="none"/>
          <w:lang w:val="en-US" w:eastAsia="zh-CN"/>
        </w:rPr>
        <w:t>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Times New Roman"/>
          <w:color w:val="auto"/>
          <w:sz w:val="24"/>
          <w:szCs w:val="24"/>
          <w:highlight w:val="none"/>
          <w:lang w:val="zh-CN"/>
        </w:rPr>
        <w:t>。（见格式“供应商承诺书”）</w:t>
      </w:r>
    </w:p>
    <w:p w14:paraId="2CAC4BAE">
      <w:pPr>
        <w:widowControl w:val="0"/>
        <w:spacing w:line="360" w:lineRule="auto"/>
        <w:ind w:firstLine="480"/>
        <w:jc w:val="left"/>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40041A43">
      <w:pPr>
        <w:spacing w:line="360" w:lineRule="auto"/>
        <w:ind w:firstLine="480"/>
        <w:rPr>
          <w:rFonts w:hint="eastAsia" w:ascii="宋体" w:hAnsi="宋体" w:eastAsia="宋体" w:cs="宋体"/>
          <w:color w:val="auto"/>
          <w:sz w:val="24"/>
          <w:lang w:eastAsia="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）企业、法定代表人及项目负责人无不良行为承诺（见格式“供应商承诺书”）</w:t>
      </w:r>
    </w:p>
    <w:p w14:paraId="305AA0B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4、本项目其他资格要求：</w:t>
      </w:r>
    </w:p>
    <w:p w14:paraId="2CE1CF13">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（1）响应文件递交截止前，被信用中国、中国政府采购网列入失信被执行人、税收违法黑名单、政府采购严重违法失信行为记录名单的供应商，拒绝其参与政府采购活动；</w:t>
      </w:r>
    </w:p>
    <w:p w14:paraId="6C47F4BD">
      <w:pPr>
        <w:spacing w:line="360" w:lineRule="auto"/>
        <w:ind w:firstLine="480"/>
        <w:jc w:val="left"/>
        <w:rPr>
          <w:rFonts w:hint="eastAsia" w:ascii="宋体" w:hAnsi="宋体" w:eastAsia="宋体" w:cs="宋体"/>
          <w:color w:val="auto"/>
          <w:spacing w:val="-4"/>
          <w:sz w:val="24"/>
        </w:rPr>
      </w:pPr>
      <w:r>
        <w:rPr>
          <w:rFonts w:hint="eastAsia" w:ascii="宋体" w:hAnsi="宋体" w:eastAsia="宋体" w:cs="宋体"/>
          <w:color w:val="auto"/>
          <w:spacing w:val="-4"/>
          <w:sz w:val="24"/>
        </w:rPr>
        <w:t>备注：采购人或采购代理机构通过信用中国网站（www.creditchina.gov.cn）、中国政府采购网（www.ccgp.gov.cn），对供应商信用记录情况进行查询，查询结果页面打印留存；</w:t>
      </w:r>
    </w:p>
    <w:p w14:paraId="1A9E9AE8">
      <w:pPr>
        <w:spacing w:line="360" w:lineRule="auto"/>
        <w:ind w:firstLine="480"/>
        <w:jc w:val="left"/>
        <w:rPr>
          <w:rFonts w:hint="eastAsia" w:ascii="宋体" w:hAnsi="宋体" w:eastAsia="宋体" w:cs="宋体"/>
          <w:color w:val="auto"/>
          <w:spacing w:val="-4"/>
          <w:sz w:val="24"/>
        </w:rPr>
      </w:pPr>
      <w:r>
        <w:rPr>
          <w:rFonts w:hint="eastAsia" w:ascii="宋体" w:hAnsi="宋体" w:eastAsia="宋体" w:cs="宋体"/>
          <w:color w:val="auto"/>
          <w:spacing w:val="-4"/>
          <w:sz w:val="24"/>
        </w:rPr>
        <w:t>（2）本项目成交后不允许分包或转包。</w:t>
      </w:r>
    </w:p>
    <w:p w14:paraId="615D9FC7">
      <w:pPr>
        <w:spacing w:line="360" w:lineRule="auto"/>
        <w:ind w:firstLine="480"/>
        <w:rPr>
          <w:rFonts w:hint="eastAsia" w:ascii="宋体" w:hAnsi="宋体" w:eastAsia="宋体" w:cs="宋体"/>
          <w:color w:val="auto"/>
          <w:sz w:val="24"/>
        </w:rPr>
      </w:pPr>
      <w:r>
        <w:rPr>
          <w:rFonts w:hint="eastAsia" w:ascii="宋体" w:hAnsi="宋体" w:cs="宋体"/>
          <w:color w:val="auto"/>
          <w:sz w:val="24"/>
          <w:lang w:val="en-US" w:eastAsia="zh-CN"/>
        </w:rPr>
        <w:t xml:space="preserve"> </w:t>
      </w:r>
      <w:r>
        <w:rPr>
          <w:rFonts w:hint="eastAsia" w:ascii="宋体" w:hAnsi="宋体" w:eastAsia="宋体" w:cs="宋体"/>
          <w:color w:val="auto"/>
          <w:sz w:val="24"/>
        </w:rPr>
        <w:t>5、法律、法规规定的其他条件。</w:t>
      </w:r>
    </w:p>
    <w:p w14:paraId="4B7F604F">
      <w:pPr>
        <w:spacing w:line="360" w:lineRule="auto"/>
        <w:ind w:firstLine="482"/>
        <w:outlineLvl w:val="1"/>
        <w:rPr>
          <w:rFonts w:hint="eastAsia" w:ascii="宋体" w:hAnsi="宋体" w:eastAsia="宋体" w:cs="宋体"/>
          <w:b/>
          <w:color w:val="auto"/>
          <w:sz w:val="24"/>
        </w:rPr>
      </w:pPr>
      <w:bookmarkStart w:id="37" w:name="_Toc7594"/>
      <w:bookmarkStart w:id="38" w:name="_Toc6062"/>
      <w:bookmarkStart w:id="39" w:name="_Toc35393800"/>
      <w:bookmarkStart w:id="40" w:name="_Toc5069"/>
      <w:bookmarkStart w:id="41" w:name="_Toc35393631"/>
      <w:r>
        <w:rPr>
          <w:rFonts w:hint="eastAsia" w:ascii="宋体" w:hAnsi="宋体" w:eastAsia="宋体" w:cs="宋体"/>
          <w:b/>
          <w:color w:val="auto"/>
          <w:sz w:val="24"/>
        </w:rPr>
        <w:t>三、获取竞争性磋商文件</w:t>
      </w:r>
      <w:bookmarkEnd w:id="35"/>
      <w:bookmarkEnd w:id="36"/>
      <w:bookmarkEnd w:id="37"/>
      <w:bookmarkEnd w:id="38"/>
      <w:bookmarkEnd w:id="39"/>
      <w:bookmarkEnd w:id="40"/>
      <w:bookmarkEnd w:id="41"/>
    </w:p>
    <w:p w14:paraId="0A7DE92E">
      <w:pPr>
        <w:keepNext w:val="0"/>
        <w:keepLines w:val="0"/>
        <w:pageBreakBefore w:val="0"/>
        <w:widowControl w:val="0"/>
        <w:shd w:val="clear" w:color="auto"/>
        <w:spacing w:line="360" w:lineRule="auto"/>
        <w:ind w:firstLine="480"/>
        <w:jc w:val="left"/>
        <w:rPr>
          <w:rFonts w:hint="eastAsia" w:ascii="宋体" w:hAnsi="宋体" w:eastAsia="宋体" w:cs="宋体"/>
          <w:color w:val="auto"/>
          <w:sz w:val="24"/>
          <w:highlight w:val="none"/>
        </w:rPr>
      </w:pPr>
      <w:bookmarkStart w:id="42" w:name="_Toc35393801"/>
      <w:bookmarkStart w:id="43" w:name="_Toc28359092"/>
      <w:bookmarkStart w:id="44" w:name="_Toc28359015"/>
      <w:bookmarkStart w:id="45" w:name="_Toc35393632"/>
      <w:r>
        <w:rPr>
          <w:rFonts w:hint="eastAsia" w:ascii="宋体" w:hAnsi="宋体" w:eastAsia="宋体" w:cs="宋体"/>
          <w:color w:val="auto"/>
          <w:sz w:val="24"/>
          <w:highlight w:val="none"/>
        </w:rPr>
        <w:t>1、时间：202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07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17</w:t>
      </w:r>
      <w:r>
        <w:rPr>
          <w:rFonts w:hint="eastAsia" w:ascii="宋体" w:hAnsi="宋体" w:eastAsia="宋体" w:cs="宋体"/>
          <w:color w:val="auto"/>
          <w:sz w:val="24"/>
          <w:highlight w:val="none"/>
        </w:rPr>
        <w:t>日至202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07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24</w:t>
      </w:r>
      <w:r>
        <w:rPr>
          <w:rFonts w:hint="eastAsia" w:ascii="宋体" w:hAnsi="宋体" w:eastAsia="宋体" w:cs="宋体"/>
          <w:color w:val="auto"/>
          <w:sz w:val="24"/>
          <w:highlight w:val="none"/>
        </w:rPr>
        <w:t>日23:59止（北京时间）；</w:t>
      </w:r>
    </w:p>
    <w:p w14:paraId="14BAEC0C">
      <w:pPr>
        <w:keepNext w:val="0"/>
        <w:keepLines w:val="0"/>
        <w:pageBreakBefore w:val="0"/>
        <w:widowControl w:val="0"/>
        <w:shd w:val="clear" w:color="auto"/>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2、方式：在“江苏政府采购网”自行免费下载磋商文件；</w:t>
      </w:r>
    </w:p>
    <w:p w14:paraId="5B8ABBE9">
      <w:pPr>
        <w:shd w:val="clear" w:color="auto"/>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3、售价：人民币0元。</w:t>
      </w:r>
    </w:p>
    <w:p w14:paraId="773F0193">
      <w:pPr>
        <w:pStyle w:val="252"/>
        <w:shd w:val="clear" w:color="auto"/>
        <w:spacing w:line="360" w:lineRule="auto"/>
        <w:outlineLvl w:val="1"/>
        <w:rPr>
          <w:rFonts w:hint="eastAsia" w:ascii="宋体" w:hAnsi="宋体" w:eastAsia="宋体" w:cs="宋体"/>
          <w:b/>
          <w:color w:val="auto"/>
          <w:sz w:val="24"/>
        </w:rPr>
      </w:pPr>
      <w:bookmarkStart w:id="46" w:name="_Toc8390"/>
      <w:bookmarkStart w:id="47" w:name="_Toc13856"/>
      <w:bookmarkStart w:id="48" w:name="_Toc25481"/>
      <w:r>
        <w:rPr>
          <w:rFonts w:hint="eastAsia" w:ascii="宋体" w:hAnsi="宋体" w:eastAsia="宋体" w:cs="宋体"/>
          <w:b/>
          <w:color w:val="auto"/>
          <w:sz w:val="24"/>
        </w:rPr>
        <w:t>四、</w:t>
      </w:r>
      <w:bookmarkEnd w:id="42"/>
      <w:bookmarkEnd w:id="43"/>
      <w:bookmarkEnd w:id="44"/>
      <w:bookmarkEnd w:id="45"/>
      <w:r>
        <w:rPr>
          <w:rFonts w:hint="eastAsia" w:ascii="宋体" w:hAnsi="宋体" w:eastAsia="宋体" w:cs="宋体"/>
          <w:b/>
          <w:color w:val="auto"/>
          <w:sz w:val="24"/>
          <w:lang w:val="en-US"/>
        </w:rPr>
        <w:t>响应文件的递交及开启</w:t>
      </w:r>
      <w:bookmarkEnd w:id="46"/>
      <w:bookmarkEnd w:id="47"/>
      <w:bookmarkEnd w:id="48"/>
    </w:p>
    <w:p w14:paraId="0DC16516">
      <w:pPr>
        <w:shd w:val="clear" w:color="auto"/>
        <w:spacing w:line="360" w:lineRule="auto"/>
        <w:ind w:firstLine="480"/>
        <w:rPr>
          <w:rFonts w:hint="eastAsia" w:ascii="宋体" w:hAnsi="宋体" w:eastAsia="宋体" w:cs="宋体"/>
          <w:color w:val="auto"/>
          <w:sz w:val="24"/>
        </w:rPr>
      </w:pPr>
      <w:bookmarkStart w:id="49" w:name="_Toc35393803"/>
      <w:bookmarkStart w:id="50" w:name="_Toc35393634"/>
      <w:bookmarkStart w:id="51" w:name="_Toc28359017"/>
      <w:bookmarkStart w:id="52" w:name="_Toc28359094"/>
      <w:r>
        <w:rPr>
          <w:rFonts w:hint="eastAsia" w:ascii="宋体" w:hAnsi="宋体" w:eastAsia="宋体" w:cs="宋体"/>
          <w:color w:val="auto"/>
          <w:sz w:val="24"/>
        </w:rPr>
        <w:t>1、电子响应文件递交截止时间：</w:t>
      </w:r>
    </w:p>
    <w:p w14:paraId="23CDBBA5">
      <w:pPr>
        <w:shd w:val="clear" w:color="auto"/>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时间：</w:t>
      </w:r>
      <w:r>
        <w:rPr>
          <w:rFonts w:hint="eastAsia" w:ascii="宋体" w:hAnsi="宋体" w:eastAsia="宋体" w:cs="宋体"/>
          <w:b/>
          <w:bCs/>
          <w:color w:val="auto"/>
          <w:sz w:val="24"/>
        </w:rPr>
        <w:t>2026年</w:t>
      </w:r>
      <w:r>
        <w:rPr>
          <w:rFonts w:hint="eastAsia" w:ascii="宋体" w:hAnsi="宋体" w:cs="宋体"/>
          <w:b/>
          <w:bCs/>
          <w:color w:val="auto"/>
          <w:sz w:val="24"/>
          <w:lang w:val="en-US" w:eastAsia="zh-CN"/>
        </w:rPr>
        <w:t>07</w:t>
      </w:r>
      <w:r>
        <w:rPr>
          <w:rFonts w:hint="eastAsia" w:ascii="宋体" w:hAnsi="宋体" w:eastAsia="宋体" w:cs="宋体"/>
          <w:b/>
          <w:bCs/>
          <w:color w:val="auto"/>
          <w:sz w:val="24"/>
        </w:rPr>
        <w:t>月</w:t>
      </w:r>
      <w:r>
        <w:rPr>
          <w:rFonts w:hint="eastAsia" w:ascii="宋体" w:hAnsi="宋体" w:cs="宋体"/>
          <w:b/>
          <w:bCs/>
          <w:color w:val="auto"/>
          <w:sz w:val="24"/>
          <w:lang w:val="en-US" w:eastAsia="zh-CN"/>
        </w:rPr>
        <w:t>28</w:t>
      </w:r>
      <w:r>
        <w:rPr>
          <w:rFonts w:hint="eastAsia" w:ascii="宋体" w:hAnsi="宋体" w:eastAsia="宋体" w:cs="宋体"/>
          <w:b/>
          <w:bCs/>
          <w:color w:val="auto"/>
          <w:sz w:val="24"/>
        </w:rPr>
        <w:t>日</w:t>
      </w:r>
      <w:r>
        <w:rPr>
          <w:rFonts w:hint="eastAsia" w:ascii="宋体" w:hAnsi="宋体" w:cs="宋体"/>
          <w:b/>
          <w:bCs/>
          <w:color w:val="auto"/>
          <w:sz w:val="24"/>
          <w:lang w:val="en-US" w:eastAsia="zh-CN"/>
        </w:rPr>
        <w:t>09</w:t>
      </w:r>
      <w:r>
        <w:rPr>
          <w:rFonts w:hint="eastAsia" w:ascii="宋体" w:hAnsi="宋体" w:eastAsia="宋体" w:cs="宋体"/>
          <w:b/>
          <w:bCs/>
          <w:color w:val="auto"/>
          <w:sz w:val="24"/>
        </w:rPr>
        <w:t>时</w:t>
      </w:r>
      <w:r>
        <w:rPr>
          <w:rFonts w:hint="eastAsia" w:ascii="宋体" w:hAnsi="宋体" w:cs="宋体"/>
          <w:b/>
          <w:bCs/>
          <w:color w:val="auto"/>
          <w:sz w:val="24"/>
          <w:lang w:val="en-US" w:eastAsia="zh-CN"/>
        </w:rPr>
        <w:t>0</w:t>
      </w:r>
      <w:r>
        <w:rPr>
          <w:rFonts w:hint="eastAsia" w:ascii="宋体" w:hAnsi="宋体" w:eastAsia="宋体" w:cs="宋体"/>
          <w:b/>
          <w:bCs/>
          <w:color w:val="auto"/>
          <w:sz w:val="24"/>
        </w:rPr>
        <w:t>0分</w:t>
      </w:r>
      <w:r>
        <w:rPr>
          <w:rFonts w:hint="eastAsia" w:ascii="宋体" w:hAnsi="宋体" w:eastAsia="宋体" w:cs="宋体"/>
          <w:color w:val="auto"/>
          <w:sz w:val="24"/>
        </w:rPr>
        <w:t>（北京时间）</w:t>
      </w:r>
    </w:p>
    <w:p w14:paraId="48C5A867">
      <w:pPr>
        <w:shd w:val="clear" w:color="auto"/>
        <w:spacing w:line="360" w:lineRule="auto"/>
        <w:ind w:firstLine="480"/>
        <w:rPr>
          <w:rFonts w:hint="eastAsia" w:ascii="宋体" w:hAnsi="宋体" w:eastAsia="宋体" w:cs="宋体"/>
          <w:color w:val="auto"/>
          <w:sz w:val="24"/>
        </w:rPr>
      </w:pPr>
      <w:bookmarkStart w:id="53" w:name="_Hlk154409379"/>
      <w:r>
        <w:rPr>
          <w:rFonts w:hint="eastAsia" w:ascii="宋体" w:hAnsi="宋体" w:eastAsia="宋体" w:cs="宋体"/>
          <w:color w:val="auto"/>
          <w:sz w:val="24"/>
        </w:rPr>
        <w:t>地址：“苏采云”政府采购交易系统网上开标大厅。</w:t>
      </w:r>
      <w:bookmarkEnd w:id="53"/>
    </w:p>
    <w:p w14:paraId="699E1B66">
      <w:pPr>
        <w:shd w:val="clear" w:color="auto"/>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2、开启时间：</w:t>
      </w:r>
    </w:p>
    <w:p w14:paraId="54749E95">
      <w:pPr>
        <w:shd w:val="clear" w:color="auto"/>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时间：</w:t>
      </w:r>
      <w:r>
        <w:rPr>
          <w:rFonts w:hint="eastAsia" w:ascii="宋体" w:hAnsi="宋体" w:eastAsia="宋体" w:cs="宋体"/>
          <w:b/>
          <w:bCs/>
          <w:color w:val="auto"/>
          <w:sz w:val="24"/>
        </w:rPr>
        <w:t xml:space="preserve">2026年 </w:t>
      </w:r>
      <w:r>
        <w:rPr>
          <w:rFonts w:hint="eastAsia" w:ascii="宋体" w:hAnsi="宋体" w:cs="宋体"/>
          <w:b/>
          <w:bCs/>
          <w:color w:val="auto"/>
          <w:sz w:val="24"/>
          <w:lang w:val="en-US" w:eastAsia="zh-CN"/>
        </w:rPr>
        <w:t>07</w:t>
      </w:r>
      <w:r>
        <w:rPr>
          <w:rFonts w:hint="eastAsia" w:ascii="宋体" w:hAnsi="宋体" w:eastAsia="宋体" w:cs="宋体"/>
          <w:b/>
          <w:bCs/>
          <w:color w:val="auto"/>
          <w:sz w:val="24"/>
        </w:rPr>
        <w:t>月</w:t>
      </w:r>
      <w:r>
        <w:rPr>
          <w:rFonts w:hint="eastAsia" w:ascii="宋体" w:hAnsi="宋体" w:cs="宋体"/>
          <w:b/>
          <w:bCs/>
          <w:color w:val="auto"/>
          <w:sz w:val="24"/>
          <w:lang w:val="en-US" w:eastAsia="zh-CN"/>
        </w:rPr>
        <w:t>28</w:t>
      </w:r>
      <w:r>
        <w:rPr>
          <w:rFonts w:hint="eastAsia" w:ascii="宋体" w:hAnsi="宋体" w:eastAsia="宋体" w:cs="宋体"/>
          <w:b/>
          <w:bCs/>
          <w:color w:val="auto"/>
          <w:sz w:val="24"/>
        </w:rPr>
        <w:t>日</w:t>
      </w:r>
      <w:r>
        <w:rPr>
          <w:rFonts w:hint="eastAsia" w:ascii="宋体" w:hAnsi="宋体" w:cs="宋体"/>
          <w:b/>
          <w:bCs/>
          <w:color w:val="auto"/>
          <w:sz w:val="24"/>
          <w:lang w:val="en-US" w:eastAsia="zh-CN"/>
        </w:rPr>
        <w:t>09</w:t>
      </w:r>
      <w:r>
        <w:rPr>
          <w:rFonts w:hint="eastAsia" w:ascii="宋体" w:hAnsi="宋体" w:eastAsia="宋体" w:cs="宋体"/>
          <w:b/>
          <w:bCs/>
          <w:color w:val="auto"/>
          <w:sz w:val="24"/>
        </w:rPr>
        <w:t>时</w:t>
      </w:r>
      <w:r>
        <w:rPr>
          <w:rFonts w:hint="eastAsia" w:ascii="宋体" w:hAnsi="宋体" w:cs="宋体"/>
          <w:b/>
          <w:bCs/>
          <w:color w:val="auto"/>
          <w:sz w:val="24"/>
          <w:lang w:val="en-US" w:eastAsia="zh-CN"/>
        </w:rPr>
        <w:t>00</w:t>
      </w:r>
      <w:r>
        <w:rPr>
          <w:rFonts w:hint="eastAsia" w:ascii="宋体" w:hAnsi="宋体" w:eastAsia="宋体" w:cs="宋体"/>
          <w:b/>
          <w:bCs/>
          <w:color w:val="auto"/>
          <w:sz w:val="24"/>
        </w:rPr>
        <w:t>分</w:t>
      </w:r>
      <w:r>
        <w:rPr>
          <w:rFonts w:hint="eastAsia" w:ascii="宋体" w:hAnsi="宋体" w:eastAsia="宋体" w:cs="宋体"/>
          <w:b w:val="0"/>
          <w:bCs w:val="0"/>
          <w:color w:val="auto"/>
          <w:sz w:val="24"/>
          <w:highlight w:val="none"/>
          <w:lang w:val="en-US" w:eastAsia="zh-CN"/>
        </w:rPr>
        <w:t>（北</w:t>
      </w:r>
      <w:r>
        <w:rPr>
          <w:rFonts w:hint="eastAsia" w:ascii="宋体" w:hAnsi="宋体" w:eastAsia="宋体" w:cs="宋体"/>
          <w:color w:val="auto"/>
          <w:sz w:val="24"/>
        </w:rPr>
        <w:t>京时间）</w:t>
      </w:r>
    </w:p>
    <w:p w14:paraId="2AAE196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地址：连云港市公共资源交易中心市区二楼不见面开标</w:t>
      </w:r>
      <w:r>
        <w:rPr>
          <w:rFonts w:hint="eastAsia" w:ascii="宋体" w:hAnsi="宋体" w:cs="宋体"/>
          <w:color w:val="auto"/>
          <w:sz w:val="24"/>
          <w:lang w:eastAsia="zh-CN"/>
        </w:rPr>
        <w:t>大厅</w:t>
      </w:r>
      <w:r>
        <w:rPr>
          <w:rFonts w:hint="eastAsia" w:ascii="宋体" w:hAnsi="宋体" w:eastAsia="宋体" w:cs="宋体"/>
          <w:color w:val="auto"/>
          <w:sz w:val="24"/>
        </w:rPr>
        <w:t>。</w:t>
      </w:r>
    </w:p>
    <w:p w14:paraId="54F80DAA">
      <w:pPr>
        <w:keepNext w:val="0"/>
        <w:keepLines w:val="0"/>
        <w:pageBreakBefore w:val="0"/>
        <w:spacing w:beforeAutospacing="0" w:afterAutospacing="0" w:line="360" w:lineRule="auto"/>
        <w:ind w:left="0"/>
        <w:outlineLvl w:val="1"/>
        <w:rPr>
          <w:rFonts w:hint="eastAsia" w:ascii="宋体" w:hAnsi="宋体" w:eastAsia="宋体" w:cs="宋体"/>
          <w:b/>
          <w:color w:val="auto"/>
          <w:sz w:val="24"/>
        </w:rPr>
      </w:pPr>
      <w:r>
        <w:rPr>
          <w:rFonts w:hint="eastAsia" w:ascii="宋体" w:hAnsi="宋体" w:eastAsia="宋体" w:cs="宋体"/>
          <w:color w:val="auto"/>
          <w:sz w:val="24"/>
        </w:rPr>
        <w:t xml:space="preserve">    </w:t>
      </w:r>
      <w:bookmarkStart w:id="54" w:name="_Toc13136"/>
      <w:bookmarkStart w:id="55" w:name="_Toc777"/>
      <w:bookmarkStart w:id="56" w:name="_Toc5446"/>
      <w:r>
        <w:rPr>
          <w:rFonts w:hint="eastAsia" w:ascii="宋体" w:hAnsi="宋体" w:eastAsia="宋体" w:cs="宋体"/>
          <w:b/>
          <w:color w:val="auto"/>
          <w:sz w:val="24"/>
        </w:rPr>
        <w:t>五、</w:t>
      </w:r>
      <w:bookmarkEnd w:id="49"/>
      <w:bookmarkEnd w:id="50"/>
      <w:bookmarkEnd w:id="51"/>
      <w:bookmarkEnd w:id="52"/>
      <w:r>
        <w:rPr>
          <w:rFonts w:hint="eastAsia" w:ascii="宋体" w:hAnsi="宋体" w:eastAsia="宋体" w:cs="宋体"/>
          <w:b/>
          <w:color w:val="auto"/>
          <w:sz w:val="24"/>
        </w:rPr>
        <w:t>公告期限</w:t>
      </w:r>
      <w:bookmarkEnd w:id="54"/>
      <w:bookmarkEnd w:id="55"/>
      <w:bookmarkEnd w:id="56"/>
      <w:r>
        <w:rPr>
          <w:rFonts w:hint="eastAsia" w:ascii="宋体" w:hAnsi="宋体" w:eastAsia="宋体" w:cs="宋体"/>
          <w:b/>
          <w:color w:val="auto"/>
          <w:sz w:val="24"/>
          <w:lang w:val="en-US" w:eastAsia="zh-CN"/>
        </w:rPr>
        <w:t>及媒介</w:t>
      </w:r>
    </w:p>
    <w:p w14:paraId="6EB0F7C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rPr>
        <w:t>公告期限：自本公告发布之日起</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个工作日。</w:t>
      </w:r>
    </w:p>
    <w:p w14:paraId="245CBB75">
      <w:pPr>
        <w:keepNext/>
        <w:keepLines/>
        <w:pageBreakBefore w:val="0"/>
        <w:widowControl w:val="0"/>
        <w:spacing w:line="360" w:lineRule="auto"/>
        <w:ind w:firstLine="480"/>
        <w:outlineLvl w:val="1"/>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发布媒介：本次采购公告在</w:t>
      </w:r>
      <w:r>
        <w:rPr>
          <w:rFonts w:hint="eastAsia" w:ascii="宋体" w:hAnsi="宋体" w:eastAsia="宋体" w:cs="宋体"/>
          <w:color w:val="auto"/>
          <w:sz w:val="24"/>
          <w:szCs w:val="24"/>
          <w:highlight w:val="none"/>
        </w:rPr>
        <w:t>江苏政府采购网</w:t>
      </w:r>
      <w:r>
        <w:rPr>
          <w:rFonts w:hint="eastAsia" w:ascii="宋体" w:hAnsi="宋体" w:cs="宋体"/>
          <w:color w:val="auto"/>
          <w:sz w:val="24"/>
          <w:highlight w:val="none"/>
          <w:lang w:val="en-US" w:eastAsia="zh-CN"/>
        </w:rPr>
        <w:t>发布。</w:t>
      </w:r>
    </w:p>
    <w:p w14:paraId="13242F14">
      <w:pPr>
        <w:spacing w:line="360" w:lineRule="auto"/>
        <w:ind w:firstLine="482"/>
        <w:outlineLvl w:val="1"/>
        <w:rPr>
          <w:rFonts w:hint="eastAsia" w:ascii="宋体" w:hAnsi="宋体" w:eastAsia="宋体" w:cs="宋体"/>
          <w:b/>
          <w:color w:val="auto"/>
          <w:sz w:val="24"/>
        </w:rPr>
      </w:pPr>
      <w:bookmarkStart w:id="57" w:name="_Toc35393635"/>
      <w:bookmarkStart w:id="58" w:name="_Toc21203"/>
      <w:bookmarkStart w:id="59" w:name="_Toc22163"/>
      <w:bookmarkStart w:id="60" w:name="_Toc35393804"/>
      <w:bookmarkStart w:id="61" w:name="_Toc11885"/>
      <w:r>
        <w:rPr>
          <w:rFonts w:hint="eastAsia" w:ascii="宋体" w:hAnsi="宋体" w:eastAsia="宋体" w:cs="宋体"/>
          <w:b/>
          <w:color w:val="auto"/>
          <w:sz w:val="24"/>
        </w:rPr>
        <w:t>六、其他补充事宜</w:t>
      </w:r>
      <w:bookmarkEnd w:id="57"/>
      <w:bookmarkEnd w:id="58"/>
      <w:bookmarkEnd w:id="59"/>
      <w:bookmarkEnd w:id="60"/>
      <w:bookmarkEnd w:id="61"/>
    </w:p>
    <w:p w14:paraId="4C38892F">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color w:val="auto"/>
        </w:rPr>
      </w:pPr>
      <w:bookmarkStart w:id="62" w:name="_Toc28359095"/>
      <w:bookmarkStart w:id="63" w:name="_Toc22500"/>
      <w:bookmarkStart w:id="64" w:name="_Toc13260"/>
      <w:bookmarkStart w:id="65" w:name="_Toc12240"/>
      <w:bookmarkStart w:id="66" w:name="_Toc28359018"/>
      <w:bookmarkStart w:id="67" w:name="_Toc35393636"/>
      <w:bookmarkStart w:id="68" w:name="_Toc35393805"/>
      <w:r>
        <w:rPr>
          <w:rFonts w:hint="eastAsia" w:ascii="宋体" w:hAnsi="宋体" w:eastAsia="宋体" w:cs="宋体"/>
          <w:color w:val="auto"/>
          <w:sz w:val="24"/>
          <w:szCs w:val="24"/>
        </w:rPr>
        <w:t>1、本次磋商不收取磋商保证金。</w:t>
      </w:r>
    </w:p>
    <w:p w14:paraId="09E5F25D">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rPr>
      </w:pPr>
      <w:r>
        <w:rPr>
          <w:rFonts w:hint="eastAsia" w:ascii="宋体" w:hAnsi="宋体" w:eastAsia="宋体" w:cs="宋体"/>
          <w:color w:val="auto"/>
          <w:sz w:val="24"/>
          <w:szCs w:val="24"/>
        </w:rPr>
        <w:t>2、本招标文件中标注★的款项为实质性响应要求和条件，必须逐条做出满足要求和条件的响应，否则将按无效响应处理</w:t>
      </w:r>
    </w:p>
    <w:p w14:paraId="1D0972F6">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rPr>
      </w:pPr>
      <w:r>
        <w:rPr>
          <w:rFonts w:hint="eastAsia" w:ascii="宋体" w:hAnsi="宋体" w:eastAsia="宋体" w:cs="宋体"/>
          <w:color w:val="auto"/>
          <w:sz w:val="24"/>
          <w:szCs w:val="24"/>
        </w:rPr>
        <w:t>3、本项目采购方式为竞争性磋商，评审过程中有二次报价环节。各供应商请关注开标大厅交流区，在开标结束后，请勿离开开标大厅，等待后续磋商、报价、答疑澄清等提示。如供应商因自身原因错过相应环节，造成非实质性响应，责任自负。</w:t>
      </w:r>
    </w:p>
    <w:p w14:paraId="616CC96F">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rPr>
      </w:pPr>
      <w:r>
        <w:rPr>
          <w:rFonts w:hint="eastAsia" w:ascii="宋体" w:hAnsi="宋体" w:eastAsia="宋体" w:cs="宋体"/>
          <w:color w:val="auto"/>
          <w:sz w:val="24"/>
          <w:szCs w:val="24"/>
        </w:rPr>
        <w:t>所有的响应供应商须在苏采云系统规定时间内填写并提交最后报价，未在磋商小组规定的时间内完成最后报价的视为放弃磋商，其磋商响应按无效响应处理。</w:t>
      </w:r>
    </w:p>
    <w:p w14:paraId="422DA959">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rPr>
      </w:pPr>
      <w:r>
        <w:rPr>
          <w:rFonts w:hint="eastAsia" w:ascii="宋体" w:hAnsi="宋体" w:eastAsia="宋体" w:cs="宋体"/>
          <w:color w:val="auto"/>
          <w:sz w:val="24"/>
          <w:szCs w:val="24"/>
        </w:rPr>
        <w:t>4、供应商在制作响应文件时如遇投标工具中投标格式与采购文件中不一致，请供应商按照采购文件中响应文件的格式要求编制，如因供应商未按要求执行造成的一切后果(包括废标)均由供应商自行承担。</w:t>
      </w:r>
    </w:p>
    <w:p w14:paraId="3C8E129C">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rPr>
      </w:pPr>
      <w:r>
        <w:rPr>
          <w:rFonts w:hint="eastAsia" w:ascii="宋体" w:hAnsi="宋体" w:eastAsia="宋体" w:cs="宋体"/>
          <w:color w:val="auto"/>
          <w:sz w:val="24"/>
          <w:szCs w:val="24"/>
        </w:rPr>
        <w:t>5、无论出于何种原因，采购人在采购活动开始前可对竞争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p>
    <w:p w14:paraId="60406CAE">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rPr>
      </w:pPr>
      <w:r>
        <w:rPr>
          <w:rFonts w:hint="eastAsia" w:ascii="宋体" w:hAnsi="宋体" w:eastAsia="宋体" w:cs="宋体"/>
          <w:color w:val="auto"/>
          <w:sz w:val="24"/>
          <w:szCs w:val="24"/>
        </w:rPr>
        <w:t>6、电子采购说明</w:t>
      </w:r>
    </w:p>
    <w:p w14:paraId="1900AAF7">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rPr>
      </w:pPr>
      <w:r>
        <w:rPr>
          <w:rFonts w:hint="eastAsia" w:ascii="宋体" w:hAnsi="宋体" w:eastAsia="宋体" w:cs="宋体"/>
          <w:color w:val="auto"/>
          <w:sz w:val="24"/>
          <w:szCs w:val="24"/>
        </w:rPr>
        <w:t>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61331074">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rPr>
      </w:pPr>
      <w:r>
        <w:rPr>
          <w:rFonts w:hint="eastAsia" w:ascii="宋体" w:hAnsi="宋体" w:eastAsia="宋体" w:cs="宋体"/>
          <w:color w:val="auto"/>
          <w:sz w:val="24"/>
          <w:szCs w:val="24"/>
        </w:rPr>
        <w:t>http://www.ccgp-jiangsu.gov.cn/jiangsu/zlxz/ee/ee3a4bc5a3454aa2b0d9312230633ce9.html</w:t>
      </w:r>
    </w:p>
    <w:p w14:paraId="2624F00A">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rPr>
      </w:pPr>
      <w:r>
        <w:rPr>
          <w:rFonts w:hint="eastAsia" w:ascii="宋体" w:hAnsi="宋体" w:eastAsia="宋体" w:cs="宋体"/>
          <w:color w:val="auto"/>
          <w:sz w:val="24"/>
          <w:szCs w:val="24"/>
        </w:rPr>
        <w:t>请投标人按照《操作手册》要求获取</w:t>
      </w:r>
      <w:r>
        <w:rPr>
          <w:rFonts w:hint="eastAsia" w:cs="宋体"/>
          <w:color w:val="auto"/>
          <w:sz w:val="24"/>
          <w:szCs w:val="24"/>
          <w:lang w:val="en-US" w:eastAsia="zh-CN"/>
        </w:rPr>
        <w:t>磋商</w:t>
      </w:r>
      <w:r>
        <w:rPr>
          <w:rFonts w:hint="eastAsia" w:ascii="宋体" w:hAnsi="宋体" w:eastAsia="宋体" w:cs="宋体"/>
          <w:color w:val="auto"/>
          <w:sz w:val="24"/>
          <w:szCs w:val="24"/>
        </w:rPr>
        <w:t>文件，制作、递交（上传）电子投标文件，参加开标，澄清、说明或者补正。因投标人未按要求操作原因导致电子投标文件被拒绝、造成无效响应的，自行承担一切损失。</w:t>
      </w:r>
    </w:p>
    <w:p w14:paraId="6D876A10">
      <w:pPr>
        <w:spacing w:line="360" w:lineRule="auto"/>
        <w:ind w:firstLine="482"/>
        <w:outlineLvl w:val="1"/>
        <w:rPr>
          <w:rFonts w:hint="eastAsia" w:ascii="宋体" w:hAnsi="宋体" w:eastAsia="宋体" w:cs="宋体"/>
          <w:b/>
          <w:color w:val="auto"/>
          <w:sz w:val="24"/>
        </w:rPr>
      </w:pPr>
      <w:r>
        <w:rPr>
          <w:rFonts w:hint="eastAsia" w:ascii="宋体" w:hAnsi="宋体" w:eastAsia="宋体" w:cs="宋体"/>
          <w:b/>
          <w:color w:val="auto"/>
          <w:sz w:val="24"/>
        </w:rPr>
        <w:t>七、凡对本次采购提出询问，请按以下方式联系</w:t>
      </w:r>
      <w:bookmarkEnd w:id="62"/>
      <w:bookmarkEnd w:id="63"/>
      <w:bookmarkEnd w:id="64"/>
      <w:bookmarkEnd w:id="65"/>
      <w:bookmarkEnd w:id="66"/>
      <w:bookmarkEnd w:id="67"/>
      <w:bookmarkEnd w:id="68"/>
    </w:p>
    <w:p w14:paraId="65297E83">
      <w:pPr>
        <w:spacing w:line="360" w:lineRule="auto"/>
        <w:ind w:firstLine="480"/>
        <w:rPr>
          <w:rFonts w:hint="eastAsia" w:ascii="宋体" w:hAnsi="宋体" w:eastAsia="宋体" w:cs="宋体"/>
          <w:color w:val="333333"/>
          <w:sz w:val="24"/>
          <w:highlight w:val="none"/>
        </w:rPr>
      </w:pPr>
      <w:bookmarkStart w:id="69" w:name="_Toc35393806"/>
      <w:bookmarkStart w:id="70" w:name="_Toc35393637"/>
      <w:bookmarkStart w:id="71" w:name="_Toc28359096"/>
      <w:bookmarkStart w:id="72" w:name="_Toc28359019"/>
      <w:bookmarkStart w:id="73" w:name="_Toc28359021"/>
      <w:bookmarkStart w:id="74" w:name="_Toc35393639"/>
      <w:bookmarkStart w:id="75" w:name="_Toc35393808"/>
      <w:bookmarkStart w:id="76" w:name="_Toc28359098"/>
      <w:r>
        <w:rPr>
          <w:rFonts w:hint="eastAsia" w:ascii="宋体" w:hAnsi="宋体" w:eastAsia="宋体" w:cs="宋体"/>
          <w:color w:val="333333"/>
          <w:sz w:val="24"/>
          <w:highlight w:val="none"/>
        </w:rPr>
        <w:t>1.采购人信息</w:t>
      </w:r>
    </w:p>
    <w:p w14:paraId="03E74B06">
      <w:pPr>
        <w:spacing w:line="360" w:lineRule="auto"/>
        <w:ind w:firstLine="480"/>
        <w:rPr>
          <w:rFonts w:hint="eastAsia" w:ascii="宋体" w:hAnsi="宋体" w:eastAsia="宋体" w:cs="宋体"/>
          <w:color w:val="333333"/>
          <w:sz w:val="24"/>
          <w:highlight w:val="none"/>
        </w:rPr>
      </w:pPr>
      <w:r>
        <w:rPr>
          <w:rFonts w:hint="eastAsia" w:ascii="宋体" w:hAnsi="宋体" w:eastAsia="宋体" w:cs="宋体"/>
          <w:color w:val="333333"/>
          <w:sz w:val="24"/>
          <w:highlight w:val="none"/>
        </w:rPr>
        <w:t>名    称：连云港开放大学</w:t>
      </w:r>
    </w:p>
    <w:p w14:paraId="5B35DA14">
      <w:pPr>
        <w:spacing w:line="360" w:lineRule="auto"/>
        <w:ind w:firstLine="480"/>
        <w:rPr>
          <w:rFonts w:hint="eastAsia" w:ascii="宋体" w:hAnsi="宋体" w:eastAsia="宋体" w:cs="宋体"/>
          <w:color w:val="333333"/>
          <w:sz w:val="24"/>
          <w:highlight w:val="none"/>
        </w:rPr>
      </w:pPr>
      <w:r>
        <w:rPr>
          <w:rFonts w:hint="eastAsia" w:ascii="宋体" w:hAnsi="宋体" w:eastAsia="宋体" w:cs="宋体"/>
          <w:color w:val="333333"/>
          <w:sz w:val="24"/>
          <w:highlight w:val="none"/>
        </w:rPr>
        <w:t>地    址：连云港市海州区苍梧路39号</w:t>
      </w:r>
    </w:p>
    <w:p w14:paraId="21B349A1">
      <w:pPr>
        <w:spacing w:line="360" w:lineRule="auto"/>
        <w:ind w:firstLine="480"/>
        <w:rPr>
          <w:rFonts w:hint="eastAsia" w:ascii="宋体" w:hAnsi="宋体" w:eastAsia="宋体" w:cs="宋体"/>
          <w:color w:val="333333"/>
          <w:sz w:val="24"/>
          <w:highlight w:val="none"/>
        </w:rPr>
      </w:pPr>
      <w:r>
        <w:rPr>
          <w:rFonts w:hint="eastAsia" w:ascii="宋体" w:hAnsi="宋体" w:eastAsia="宋体" w:cs="宋体"/>
          <w:color w:val="333333"/>
          <w:sz w:val="24"/>
          <w:highlight w:val="none"/>
        </w:rPr>
        <w:t>联系方式：</w:t>
      </w:r>
      <w:r>
        <w:rPr>
          <w:rFonts w:hint="eastAsia" w:ascii="宋体" w:hAnsi="宋体" w:cs="宋体"/>
          <w:color w:val="333333"/>
          <w:sz w:val="24"/>
          <w:highlight w:val="none"/>
          <w:lang w:val="en-US" w:eastAsia="zh-CN"/>
        </w:rPr>
        <w:t>成</w:t>
      </w:r>
      <w:r>
        <w:rPr>
          <w:rFonts w:hint="eastAsia" w:ascii="宋体" w:hAnsi="宋体" w:eastAsia="宋体" w:cs="宋体"/>
          <w:color w:val="333333"/>
          <w:sz w:val="24"/>
          <w:highlight w:val="none"/>
        </w:rPr>
        <w:t xml:space="preserve">老师    </w:t>
      </w:r>
    </w:p>
    <w:p w14:paraId="3BFC143F">
      <w:pPr>
        <w:spacing w:line="360" w:lineRule="auto"/>
        <w:ind w:firstLine="480"/>
        <w:rPr>
          <w:rFonts w:hint="default" w:ascii="宋体" w:hAnsi="宋体" w:eastAsia="宋体" w:cs="宋体"/>
          <w:color w:val="333333"/>
          <w:sz w:val="24"/>
          <w:highlight w:val="none"/>
          <w:lang w:val="en-US" w:eastAsia="zh-CN"/>
        </w:rPr>
      </w:pPr>
      <w:r>
        <w:rPr>
          <w:rFonts w:hint="eastAsia" w:ascii="宋体" w:hAnsi="宋体" w:eastAsia="宋体" w:cs="宋体"/>
          <w:color w:val="333333"/>
          <w:sz w:val="24"/>
          <w:highlight w:val="none"/>
        </w:rPr>
        <w:t>电    话 ：0518</w:t>
      </w:r>
      <w:r>
        <w:rPr>
          <w:rFonts w:hint="eastAsia" w:ascii="宋体" w:hAnsi="宋体" w:cs="宋体"/>
          <w:color w:val="333333"/>
          <w:sz w:val="24"/>
          <w:highlight w:val="none"/>
          <w:lang w:val="en-US" w:eastAsia="zh-CN"/>
        </w:rPr>
        <w:t>-</w:t>
      </w:r>
      <w:r>
        <w:rPr>
          <w:rFonts w:hint="eastAsia" w:ascii="宋体" w:hAnsi="宋体" w:eastAsia="宋体" w:cs="宋体"/>
          <w:color w:val="333333"/>
          <w:sz w:val="24"/>
          <w:highlight w:val="none"/>
        </w:rPr>
        <w:t xml:space="preserve">85458279 </w:t>
      </w:r>
    </w:p>
    <w:p w14:paraId="50A18CB4">
      <w:pPr>
        <w:spacing w:line="360" w:lineRule="auto"/>
        <w:ind w:firstLine="480"/>
        <w:rPr>
          <w:rFonts w:hint="eastAsia" w:ascii="宋体" w:hAnsi="宋体" w:eastAsia="宋体" w:cs="宋体"/>
          <w:color w:val="333333"/>
          <w:sz w:val="24"/>
          <w:highlight w:val="none"/>
        </w:rPr>
      </w:pPr>
      <w:r>
        <w:rPr>
          <w:rFonts w:hint="eastAsia" w:ascii="宋体" w:hAnsi="宋体" w:eastAsia="宋体" w:cs="宋体"/>
          <w:color w:val="333333"/>
          <w:sz w:val="24"/>
          <w:highlight w:val="none"/>
        </w:rPr>
        <w:t>2.采购代理机构信息</w:t>
      </w:r>
    </w:p>
    <w:p w14:paraId="609FAABB">
      <w:pPr>
        <w:spacing w:line="360" w:lineRule="auto"/>
        <w:ind w:firstLine="480"/>
        <w:rPr>
          <w:rFonts w:hint="eastAsia" w:ascii="宋体" w:hAnsi="宋体" w:eastAsia="宋体" w:cs="宋体"/>
          <w:color w:val="333333"/>
          <w:sz w:val="24"/>
          <w:highlight w:val="none"/>
        </w:rPr>
      </w:pPr>
      <w:r>
        <w:rPr>
          <w:rFonts w:hint="eastAsia" w:ascii="宋体" w:hAnsi="宋体" w:eastAsia="宋体" w:cs="宋体"/>
          <w:color w:val="333333"/>
          <w:sz w:val="24"/>
          <w:highlight w:val="none"/>
        </w:rPr>
        <w:t>名    称：江苏国衡工程咨询有限公司</w:t>
      </w:r>
    </w:p>
    <w:p w14:paraId="6865C3DD">
      <w:pPr>
        <w:spacing w:line="360" w:lineRule="auto"/>
        <w:ind w:firstLine="480"/>
        <w:rPr>
          <w:rFonts w:hint="eastAsia" w:ascii="宋体" w:hAnsi="宋体" w:eastAsia="宋体" w:cs="宋体"/>
          <w:color w:val="333333"/>
          <w:sz w:val="24"/>
          <w:highlight w:val="none"/>
        </w:rPr>
      </w:pPr>
      <w:r>
        <w:rPr>
          <w:rFonts w:hint="eastAsia" w:ascii="宋体" w:hAnsi="宋体" w:eastAsia="宋体" w:cs="宋体"/>
          <w:color w:val="333333"/>
          <w:sz w:val="24"/>
          <w:highlight w:val="none"/>
        </w:rPr>
        <w:t>地　　址：连云港市海州区龙河南路34号苍梧生活广场东南角三楼</w:t>
      </w:r>
    </w:p>
    <w:p w14:paraId="2317DFC3">
      <w:pPr>
        <w:spacing w:line="360" w:lineRule="auto"/>
        <w:ind w:firstLine="480"/>
        <w:rPr>
          <w:rFonts w:hint="eastAsia" w:ascii="宋体" w:hAnsi="宋体" w:eastAsia="宋体" w:cs="宋体"/>
          <w:color w:val="333333"/>
          <w:sz w:val="24"/>
          <w:highlight w:val="none"/>
        </w:rPr>
      </w:pPr>
      <w:r>
        <w:rPr>
          <w:rFonts w:hint="eastAsia" w:ascii="宋体" w:hAnsi="宋体" w:eastAsia="宋体" w:cs="宋体"/>
          <w:color w:val="333333"/>
          <w:sz w:val="24"/>
          <w:highlight w:val="none"/>
        </w:rPr>
        <w:t>联系方式：马工</w:t>
      </w:r>
    </w:p>
    <w:p w14:paraId="65EFF396">
      <w:pPr>
        <w:spacing w:line="360" w:lineRule="auto"/>
        <w:ind w:firstLine="480"/>
        <w:rPr>
          <w:rFonts w:hint="eastAsia" w:ascii="宋体" w:hAnsi="宋体" w:eastAsia="宋体" w:cs="宋体"/>
          <w:color w:val="333333"/>
          <w:sz w:val="24"/>
          <w:highlight w:val="none"/>
        </w:rPr>
      </w:pPr>
      <w:r>
        <w:rPr>
          <w:rFonts w:hint="eastAsia" w:ascii="宋体" w:hAnsi="宋体" w:eastAsia="宋体" w:cs="宋体"/>
          <w:color w:val="333333"/>
          <w:sz w:val="24"/>
          <w:highlight w:val="none"/>
        </w:rPr>
        <w:t>电    话：0518-85027706</w:t>
      </w:r>
    </w:p>
    <w:p w14:paraId="4160A0BA">
      <w:pPr>
        <w:spacing w:line="360" w:lineRule="auto"/>
        <w:ind w:firstLine="480"/>
        <w:rPr>
          <w:rFonts w:hint="eastAsia" w:ascii="宋体" w:hAnsi="宋体" w:eastAsia="宋体" w:cs="宋体"/>
          <w:color w:val="333333"/>
          <w:sz w:val="24"/>
          <w:highlight w:val="none"/>
        </w:rPr>
      </w:pPr>
      <w:r>
        <w:rPr>
          <w:rFonts w:hint="eastAsia" w:ascii="宋体" w:hAnsi="宋体" w:eastAsia="宋体" w:cs="宋体"/>
          <w:color w:val="333333"/>
          <w:sz w:val="24"/>
          <w:highlight w:val="none"/>
        </w:rPr>
        <w:t>3.项目联系方式</w:t>
      </w:r>
    </w:p>
    <w:p w14:paraId="3302D43E">
      <w:pPr>
        <w:spacing w:line="360" w:lineRule="auto"/>
        <w:ind w:firstLine="480"/>
        <w:rPr>
          <w:rFonts w:hint="eastAsia" w:ascii="宋体" w:hAnsi="宋体" w:eastAsia="宋体" w:cs="宋体"/>
          <w:color w:val="333333"/>
          <w:sz w:val="24"/>
          <w:highlight w:val="none"/>
        </w:rPr>
      </w:pPr>
      <w:r>
        <w:rPr>
          <w:rFonts w:hint="eastAsia" w:ascii="宋体" w:hAnsi="宋体" w:eastAsia="宋体" w:cs="宋体"/>
          <w:color w:val="333333"/>
          <w:sz w:val="24"/>
          <w:highlight w:val="none"/>
        </w:rPr>
        <w:t>项目联系人：</w:t>
      </w:r>
      <w:r>
        <w:rPr>
          <w:rFonts w:hint="eastAsia" w:ascii="宋体" w:hAnsi="宋体" w:cs="宋体"/>
          <w:color w:val="333333"/>
          <w:sz w:val="24"/>
          <w:highlight w:val="none"/>
          <w:lang w:val="en-US" w:eastAsia="zh-CN"/>
        </w:rPr>
        <w:t>成</w:t>
      </w:r>
      <w:r>
        <w:rPr>
          <w:rFonts w:hint="eastAsia" w:ascii="宋体" w:hAnsi="宋体" w:eastAsia="宋体" w:cs="宋体"/>
          <w:color w:val="333333"/>
          <w:sz w:val="24"/>
          <w:highlight w:val="none"/>
        </w:rPr>
        <w:t>老师</w:t>
      </w:r>
    </w:p>
    <w:p w14:paraId="0E950BBE">
      <w:pPr>
        <w:spacing w:line="360" w:lineRule="auto"/>
        <w:ind w:firstLine="480"/>
        <w:rPr>
          <w:rFonts w:hint="eastAsia" w:ascii="宋体" w:hAnsi="宋体" w:eastAsia="宋体" w:cs="宋体"/>
          <w:color w:val="333333"/>
          <w:sz w:val="24"/>
          <w:highlight w:val="none"/>
        </w:rPr>
      </w:pPr>
      <w:r>
        <w:rPr>
          <w:rFonts w:hint="eastAsia" w:ascii="宋体" w:hAnsi="宋体" w:eastAsia="宋体" w:cs="宋体"/>
          <w:color w:val="333333"/>
          <w:sz w:val="24"/>
          <w:highlight w:val="none"/>
        </w:rPr>
        <w:t>电　    话：</w:t>
      </w:r>
      <w:bookmarkEnd w:id="69"/>
      <w:bookmarkEnd w:id="70"/>
      <w:bookmarkEnd w:id="71"/>
      <w:bookmarkEnd w:id="72"/>
      <w:r>
        <w:rPr>
          <w:rFonts w:hint="eastAsia" w:ascii="宋体" w:hAnsi="宋体" w:eastAsia="宋体" w:cs="宋体"/>
          <w:color w:val="333333"/>
          <w:sz w:val="24"/>
          <w:highlight w:val="none"/>
        </w:rPr>
        <w:t>0518</w:t>
      </w:r>
      <w:r>
        <w:rPr>
          <w:rFonts w:hint="eastAsia" w:ascii="宋体" w:hAnsi="宋体" w:cs="宋体"/>
          <w:color w:val="333333"/>
          <w:sz w:val="24"/>
          <w:highlight w:val="none"/>
          <w:lang w:val="en-US" w:eastAsia="zh-CN"/>
        </w:rPr>
        <w:t>-</w:t>
      </w:r>
      <w:r>
        <w:rPr>
          <w:rFonts w:hint="eastAsia" w:ascii="宋体" w:hAnsi="宋体" w:eastAsia="宋体" w:cs="宋体"/>
          <w:color w:val="333333"/>
          <w:sz w:val="24"/>
          <w:highlight w:val="none"/>
        </w:rPr>
        <w:t xml:space="preserve">85458279 </w:t>
      </w:r>
    </w:p>
    <w:p w14:paraId="592EB215">
      <w:pPr>
        <w:spacing w:line="360" w:lineRule="auto"/>
        <w:ind w:firstLine="480"/>
        <w:rPr>
          <w:rFonts w:hint="eastAsia" w:ascii="宋体" w:hAnsi="宋体" w:cs="宋体"/>
          <w:color w:val="auto"/>
          <w:sz w:val="24"/>
          <w:lang w:val="en-US" w:eastAsia="zh-CN"/>
        </w:rPr>
      </w:pPr>
    </w:p>
    <w:p w14:paraId="51E2E03B">
      <w:pPr>
        <w:pStyle w:val="67"/>
        <w:rPr>
          <w:rFonts w:hint="eastAsia" w:ascii="宋体" w:hAnsi="宋体" w:cs="宋体"/>
          <w:color w:val="auto"/>
          <w:sz w:val="24"/>
          <w:lang w:val="en-US" w:eastAsia="zh-CN"/>
        </w:rPr>
      </w:pPr>
    </w:p>
    <w:p w14:paraId="5EE565B3">
      <w:pPr>
        <w:rPr>
          <w:rFonts w:hint="eastAsia" w:ascii="宋体" w:hAnsi="宋体" w:cs="宋体"/>
          <w:color w:val="auto"/>
          <w:sz w:val="24"/>
          <w:lang w:val="en-US" w:eastAsia="zh-CN"/>
        </w:rPr>
      </w:pPr>
    </w:p>
    <w:bookmarkEnd w:id="73"/>
    <w:bookmarkEnd w:id="74"/>
    <w:bookmarkEnd w:id="75"/>
    <w:bookmarkEnd w:id="76"/>
    <w:p w14:paraId="6915A74E">
      <w:pPr>
        <w:rPr>
          <w:rFonts w:hint="eastAsia" w:ascii="宋体" w:hAnsi="宋体" w:cs="宋体"/>
          <w:color w:val="auto"/>
          <w:sz w:val="24"/>
          <w:lang w:val="en-US" w:eastAsia="zh-CN"/>
        </w:rPr>
      </w:pPr>
    </w:p>
    <w:p w14:paraId="247EE2D3">
      <w:pPr>
        <w:rPr>
          <w:rFonts w:hint="eastAsia"/>
          <w:color w:val="auto"/>
          <w:lang w:val="en-US" w:eastAsia="zh-CN"/>
        </w:rPr>
      </w:pPr>
    </w:p>
    <w:p w14:paraId="779C6F08">
      <w:pPr>
        <w:rPr>
          <w:rFonts w:hint="eastAsia"/>
          <w:color w:val="auto"/>
          <w:lang w:val="en-US" w:eastAsia="zh-CN"/>
        </w:rPr>
      </w:pPr>
    </w:p>
    <w:p w14:paraId="6A24521D">
      <w:pPr>
        <w:spacing w:line="360" w:lineRule="auto"/>
        <w:jc w:val="both"/>
        <w:rPr>
          <w:rFonts w:hint="default" w:ascii="宋体" w:hAnsi="宋体" w:eastAsia="宋体" w:cs="宋体"/>
          <w:color w:val="auto"/>
          <w:sz w:val="24"/>
          <w:lang w:val="en-US" w:eastAsia="zh-CN"/>
        </w:rPr>
      </w:pPr>
    </w:p>
    <w:p w14:paraId="7EEDDA31">
      <w:pPr>
        <w:rPr>
          <w:rFonts w:hint="eastAsia" w:ascii="宋体" w:hAnsi="宋体" w:eastAsia="宋体" w:cs="宋体"/>
          <w:b/>
          <w:bCs/>
          <w:color w:val="auto"/>
          <w:sz w:val="40"/>
          <w:szCs w:val="40"/>
        </w:rPr>
      </w:pPr>
      <w:bookmarkStart w:id="77" w:name="_Toc21398"/>
      <w:r>
        <w:rPr>
          <w:rFonts w:hint="eastAsia" w:ascii="宋体" w:hAnsi="宋体" w:eastAsia="宋体" w:cs="宋体"/>
          <w:b/>
          <w:bCs/>
          <w:color w:val="auto"/>
          <w:sz w:val="40"/>
          <w:szCs w:val="40"/>
        </w:rPr>
        <w:br w:type="page"/>
      </w:r>
    </w:p>
    <w:p w14:paraId="52A0C4F6">
      <w:pPr>
        <w:pStyle w:val="3"/>
        <w:numPr>
          <w:ilvl w:val="0"/>
          <w:numId w:val="3"/>
        </w:numPr>
        <w:jc w:val="center"/>
        <w:rPr>
          <w:rFonts w:hint="eastAsia" w:ascii="宋体" w:hAnsi="宋体" w:eastAsia="宋体" w:cs="宋体"/>
          <w:b/>
          <w:bCs/>
          <w:color w:val="auto"/>
          <w:sz w:val="40"/>
          <w:szCs w:val="40"/>
        </w:rPr>
      </w:pPr>
      <w:r>
        <w:rPr>
          <w:rFonts w:hint="eastAsia" w:ascii="宋体" w:hAnsi="宋体" w:eastAsia="宋体" w:cs="宋体"/>
          <w:b/>
          <w:bCs/>
          <w:color w:val="auto"/>
          <w:sz w:val="40"/>
          <w:szCs w:val="40"/>
        </w:rPr>
        <w:t>磋商须知</w:t>
      </w:r>
      <w:bookmarkEnd w:id="77"/>
    </w:p>
    <w:p w14:paraId="33A55C09">
      <w:pPr>
        <w:numPr>
          <w:ilvl w:val="0"/>
          <w:numId w:val="0"/>
        </w:numPr>
        <w:rPr>
          <w:rFonts w:hint="eastAsia"/>
          <w:color w:val="auto"/>
        </w:rPr>
      </w:pPr>
    </w:p>
    <w:p w14:paraId="7E189CBE">
      <w:pPr>
        <w:shd w:val="clear" w:color="auto" w:fill="auto"/>
        <w:tabs>
          <w:tab w:val="left" w:pos="900"/>
        </w:tabs>
        <w:spacing w:line="360" w:lineRule="auto"/>
        <w:ind w:firstLine="802"/>
        <w:jc w:val="center"/>
        <w:outlineLvl w:val="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一、总则</w:t>
      </w:r>
    </w:p>
    <w:p w14:paraId="7A23A9E0">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bookmarkStart w:id="78" w:name="_Toc20823276"/>
      <w:bookmarkStart w:id="79" w:name="_Toc16938520"/>
      <w:bookmarkStart w:id="80" w:name="_Toc513029204"/>
      <w:bookmarkStart w:id="81" w:name="_Toc458694821"/>
      <w:r>
        <w:rPr>
          <w:rFonts w:hint="eastAsia" w:ascii="宋体" w:hAnsi="宋体" w:eastAsia="宋体" w:cs="宋体"/>
          <w:b/>
          <w:bCs/>
          <w:sz w:val="28"/>
          <w:szCs w:val="28"/>
          <w:highlight w:val="none"/>
          <w:lang w:val="en-US" w:eastAsia="zh-CN"/>
        </w:rPr>
        <w:t>1</w:t>
      </w:r>
      <w:bookmarkEnd w:id="78"/>
      <w:r>
        <w:rPr>
          <w:rFonts w:hint="eastAsia" w:ascii="宋体" w:hAnsi="宋体" w:eastAsia="宋体" w:cs="宋体"/>
          <w:b/>
          <w:bCs/>
          <w:sz w:val="28"/>
          <w:szCs w:val="28"/>
          <w:highlight w:val="none"/>
          <w:lang w:val="en-US" w:eastAsia="zh-CN"/>
        </w:rPr>
        <w:t>、采购方式</w:t>
      </w:r>
      <w:bookmarkEnd w:id="79"/>
      <w:bookmarkEnd w:id="80"/>
      <w:bookmarkEnd w:id="81"/>
    </w:p>
    <w:p w14:paraId="75B9F134">
      <w:pPr>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1.1 本次政府采购活动采取竞争性磋商</w:t>
      </w:r>
      <w:r>
        <w:rPr>
          <w:rFonts w:hint="eastAsia" w:ascii="宋体" w:hAnsi="宋体" w:eastAsia="宋体" w:cs="宋体"/>
          <w:sz w:val="24"/>
          <w:highlight w:val="none"/>
          <w:lang w:eastAsia="zh-CN"/>
        </w:rPr>
        <w:t>（</w:t>
      </w:r>
      <w:r>
        <w:rPr>
          <w:rFonts w:hint="eastAsia" w:ascii="宋体" w:hAnsi="宋体" w:eastAsia="宋体" w:cs="宋体"/>
          <w:sz w:val="24"/>
          <w:highlight w:val="none"/>
        </w:rPr>
        <w:t>以下简称磋商</w:t>
      </w:r>
      <w:r>
        <w:rPr>
          <w:rFonts w:hint="eastAsia" w:ascii="宋体" w:hAnsi="宋体" w:eastAsia="宋体" w:cs="宋体"/>
          <w:sz w:val="24"/>
          <w:highlight w:val="none"/>
          <w:lang w:eastAsia="zh-CN"/>
        </w:rPr>
        <w:t>）</w:t>
      </w:r>
      <w:r>
        <w:rPr>
          <w:rFonts w:hint="eastAsia" w:ascii="宋体" w:hAnsi="宋体" w:eastAsia="宋体" w:cs="宋体"/>
          <w:sz w:val="24"/>
          <w:highlight w:val="none"/>
        </w:rPr>
        <w:t>方式，本磋商文件仅适用于磋商公告中所述项目。</w:t>
      </w:r>
    </w:p>
    <w:p w14:paraId="5D63146A">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bookmarkStart w:id="82" w:name="_Toc513029205"/>
      <w:bookmarkStart w:id="83" w:name="_Toc16938521"/>
      <w:bookmarkStart w:id="84" w:name="_Toc20823277"/>
      <w:r>
        <w:rPr>
          <w:rFonts w:hint="eastAsia" w:ascii="宋体" w:hAnsi="宋体" w:eastAsia="宋体" w:cs="宋体"/>
          <w:b/>
          <w:bCs/>
          <w:sz w:val="28"/>
          <w:szCs w:val="28"/>
          <w:highlight w:val="none"/>
          <w:lang w:val="en-US" w:eastAsia="zh-CN"/>
        </w:rPr>
        <w:t>2、合格的</w:t>
      </w:r>
      <w:bookmarkEnd w:id="82"/>
      <w:bookmarkEnd w:id="83"/>
      <w:bookmarkEnd w:id="84"/>
      <w:r>
        <w:rPr>
          <w:rFonts w:hint="eastAsia" w:ascii="宋体" w:hAnsi="宋体" w:eastAsia="宋体" w:cs="宋体"/>
          <w:b/>
          <w:bCs/>
          <w:sz w:val="28"/>
          <w:szCs w:val="28"/>
          <w:highlight w:val="none"/>
          <w:lang w:val="en-US" w:eastAsia="zh-CN"/>
        </w:rPr>
        <w:t>供应商</w:t>
      </w:r>
    </w:p>
    <w:p w14:paraId="5C29D9EE">
      <w:pPr>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2.1满足磋商公告中供应商资格要求的规定。</w:t>
      </w:r>
    </w:p>
    <w:p w14:paraId="3FB70C28">
      <w:pPr>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2.2 满足本磋商文件实质性要求和条件的规定。</w:t>
      </w:r>
    </w:p>
    <w:p w14:paraId="0D1FB435">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bookmarkStart w:id="85" w:name="_Toc513029206"/>
      <w:bookmarkStart w:id="86" w:name="_Toc16938522"/>
      <w:bookmarkStart w:id="87" w:name="_Toc20823278"/>
      <w:r>
        <w:rPr>
          <w:rFonts w:hint="eastAsia" w:ascii="宋体" w:hAnsi="宋体" w:eastAsia="宋体" w:cs="宋体"/>
          <w:b/>
          <w:bCs/>
          <w:sz w:val="28"/>
          <w:szCs w:val="28"/>
          <w:highlight w:val="none"/>
          <w:lang w:val="en-US" w:eastAsia="zh-CN"/>
        </w:rPr>
        <w:t>3、适用法律</w:t>
      </w:r>
      <w:bookmarkEnd w:id="85"/>
      <w:bookmarkEnd w:id="86"/>
      <w:bookmarkEnd w:id="87"/>
    </w:p>
    <w:p w14:paraId="6761E56D">
      <w:pPr>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3.1 本次磋商及由此产生的合同受中华人民共和国有关的法律法规制约和保护。</w:t>
      </w:r>
    </w:p>
    <w:p w14:paraId="3BB2A977">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bookmarkStart w:id="88" w:name="_Toc16938523"/>
      <w:bookmarkStart w:id="89" w:name="_Toc462564067"/>
      <w:bookmarkStart w:id="90" w:name="_Toc20823279"/>
      <w:bookmarkStart w:id="91" w:name="_Toc513029207"/>
      <w:r>
        <w:rPr>
          <w:rFonts w:hint="eastAsia" w:ascii="宋体" w:hAnsi="宋体" w:eastAsia="宋体" w:cs="宋体"/>
          <w:b/>
          <w:bCs/>
          <w:sz w:val="28"/>
          <w:szCs w:val="28"/>
          <w:highlight w:val="none"/>
          <w:lang w:val="en-US" w:eastAsia="zh-CN"/>
        </w:rPr>
        <w:t>4、磋商费用</w:t>
      </w:r>
      <w:bookmarkEnd w:id="88"/>
      <w:bookmarkEnd w:id="89"/>
      <w:bookmarkEnd w:id="90"/>
      <w:bookmarkEnd w:id="91"/>
    </w:p>
    <w:p w14:paraId="2D418DE8">
      <w:pPr>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4.1供应商应自行承担所有与参加本次磋商有关的费用，无论磋商过程中的做法和结果如何，</w:t>
      </w:r>
      <w:r>
        <w:rPr>
          <w:rFonts w:hint="eastAsia" w:ascii="宋体" w:hAnsi="宋体" w:cs="宋体"/>
          <w:sz w:val="24"/>
          <w:highlight w:val="none"/>
          <w:lang w:eastAsia="zh-CN"/>
        </w:rPr>
        <w:t>江苏国衡工程咨询有限公司</w:t>
      </w:r>
      <w:r>
        <w:rPr>
          <w:rFonts w:hint="eastAsia" w:ascii="宋体" w:hAnsi="宋体" w:eastAsia="宋体" w:cs="宋体"/>
          <w:sz w:val="24"/>
          <w:highlight w:val="none"/>
          <w:lang w:eastAsia="zh-CN"/>
        </w:rPr>
        <w:t xml:space="preserve"> </w:t>
      </w:r>
      <w:r>
        <w:rPr>
          <w:rFonts w:hint="eastAsia" w:ascii="宋体" w:hAnsi="宋体" w:eastAsia="宋体" w:cs="宋体"/>
          <w:sz w:val="24"/>
          <w:highlight w:val="none"/>
        </w:rPr>
        <w:t>（以下简称</w:t>
      </w:r>
      <w:r>
        <w:rPr>
          <w:rFonts w:hint="eastAsia" w:ascii="宋体" w:hAnsi="宋体" w:eastAsia="宋体" w:cs="宋体"/>
          <w:sz w:val="24"/>
          <w:highlight w:val="none"/>
          <w:lang w:val="en-US" w:eastAsia="zh-CN"/>
        </w:rPr>
        <w:t>代理机构</w:t>
      </w:r>
      <w:r>
        <w:rPr>
          <w:rFonts w:hint="eastAsia" w:ascii="宋体" w:hAnsi="宋体" w:eastAsia="宋体" w:cs="宋体"/>
          <w:sz w:val="24"/>
          <w:highlight w:val="none"/>
        </w:rPr>
        <w:t>）在任何情况下均无义务和责任承担这些费用。</w:t>
      </w:r>
    </w:p>
    <w:p w14:paraId="749FAC20">
      <w:pPr>
        <w:shd w:val="clear" w:color="auto" w:fill="auto"/>
        <w:tabs>
          <w:tab w:val="left" w:pos="900"/>
        </w:tabs>
        <w:spacing w:line="360" w:lineRule="auto"/>
        <w:ind w:left="0" w:firstLine="480"/>
        <w:jc w:val="left"/>
        <w:outlineLvl w:val="1"/>
        <w:rPr>
          <w:rFonts w:hint="eastAsia" w:ascii="宋体" w:hAnsi="宋体" w:eastAsia="宋体" w:cs="宋体"/>
          <w:b/>
          <w:bCs/>
          <w:sz w:val="28"/>
          <w:szCs w:val="28"/>
          <w:highlight w:val="none"/>
          <w:lang w:val="en-US" w:eastAsia="zh-CN"/>
        </w:rPr>
      </w:pPr>
      <w:r>
        <w:rPr>
          <w:rFonts w:hint="eastAsia" w:ascii="宋体" w:hAnsi="宋体" w:cs="宋体"/>
          <w:color w:val="auto"/>
          <w:sz w:val="24"/>
          <w:highlight w:val="none"/>
          <w:lang w:val="en-US" w:eastAsia="zh-CN"/>
        </w:rPr>
        <w:t>4.2招标代理费：本项目招标代理费按《江苏省招标代理服务收费的指导意见》参照计价格[2002]1980号文、工程量及招标控制价编制收费按苏价服【2014】383号文的标准 30%收取，均由中标单位支付。</w:t>
      </w:r>
    </w:p>
    <w:p w14:paraId="2E7D8A27">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5、磋商文件的约束力</w:t>
      </w:r>
    </w:p>
    <w:p w14:paraId="01F3E405">
      <w:pPr>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5.1供应商一旦参加本项目采购活动，即被认为接受了本磋商文件的规定和约束</w:t>
      </w:r>
      <w:r>
        <w:rPr>
          <w:rFonts w:hint="eastAsia" w:ascii="宋体" w:hAnsi="宋体" w:eastAsia="宋体" w:cs="宋体"/>
          <w:sz w:val="24"/>
          <w:highlight w:val="none"/>
          <w:lang w:eastAsia="zh-CN"/>
        </w:rPr>
        <w:t>，</w:t>
      </w:r>
      <w:r>
        <w:rPr>
          <w:rFonts w:hint="eastAsia" w:ascii="宋体" w:hAnsi="宋体" w:eastAsia="宋体" w:cs="宋体"/>
          <w:sz w:val="24"/>
          <w:highlight w:val="none"/>
        </w:rPr>
        <w:t>并且视为已经知道或应当知道自身权益是否受到了损害。</w:t>
      </w:r>
    </w:p>
    <w:p w14:paraId="442CA472">
      <w:pPr>
        <w:shd w:val="clear" w:color="auto" w:fill="auto"/>
        <w:tabs>
          <w:tab w:val="left" w:pos="900"/>
        </w:tabs>
        <w:spacing w:line="360" w:lineRule="auto"/>
        <w:ind w:firstLine="802"/>
        <w:jc w:val="center"/>
        <w:outlineLvl w:val="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二、磋商文件</w:t>
      </w:r>
    </w:p>
    <w:p w14:paraId="1573AC63">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6、磋商文件构成</w:t>
      </w:r>
    </w:p>
    <w:p w14:paraId="5A84EA1E">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6</w:t>
      </w:r>
      <w:r>
        <w:rPr>
          <w:rFonts w:hint="eastAsia" w:ascii="宋体" w:hAnsi="宋体" w:eastAsia="宋体" w:cs="宋体"/>
          <w:color w:val="000000"/>
          <w:sz w:val="24"/>
          <w:szCs w:val="21"/>
          <w:highlight w:val="none"/>
        </w:rPr>
        <w:t>.1 磋商文件由以下部分组成：</w:t>
      </w:r>
    </w:p>
    <w:p w14:paraId="28759686">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（1）竞争性磋商公告</w:t>
      </w:r>
    </w:p>
    <w:p w14:paraId="4B4D6C68">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（2）</w:t>
      </w:r>
      <w:r>
        <w:rPr>
          <w:rFonts w:hint="eastAsia" w:ascii="宋体" w:hAnsi="宋体" w:eastAsia="宋体" w:cs="宋体"/>
          <w:color w:val="000000"/>
          <w:sz w:val="24"/>
          <w:szCs w:val="21"/>
          <w:highlight w:val="none"/>
          <w:lang w:val="en-US" w:eastAsia="zh-CN"/>
        </w:rPr>
        <w:t>供应商</w:t>
      </w:r>
      <w:r>
        <w:rPr>
          <w:rFonts w:hint="eastAsia" w:ascii="宋体" w:hAnsi="宋体" w:eastAsia="宋体" w:cs="宋体"/>
          <w:color w:val="000000"/>
          <w:sz w:val="24"/>
          <w:szCs w:val="21"/>
          <w:highlight w:val="none"/>
        </w:rPr>
        <w:t>须知</w:t>
      </w:r>
    </w:p>
    <w:p w14:paraId="24FA89A2">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（3）政府采购合同格式</w:t>
      </w:r>
    </w:p>
    <w:p w14:paraId="60FFB8F7">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（4）技术标准和要求</w:t>
      </w:r>
    </w:p>
    <w:p w14:paraId="21F82191">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（5）工程量清单</w:t>
      </w:r>
    </w:p>
    <w:p w14:paraId="31CC90CD">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（6）图纸和技术资料</w:t>
      </w:r>
    </w:p>
    <w:p w14:paraId="46AD9081">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t>（</w:t>
      </w:r>
      <w:r>
        <w:rPr>
          <w:rFonts w:hint="eastAsia" w:ascii="宋体" w:hAnsi="宋体" w:eastAsia="宋体" w:cs="宋体"/>
          <w:color w:val="000000"/>
          <w:sz w:val="24"/>
          <w:szCs w:val="21"/>
          <w:highlight w:val="none"/>
          <w:lang w:val="en-US" w:eastAsia="zh-CN"/>
        </w:rPr>
        <w:t>7</w:t>
      </w:r>
      <w:r>
        <w:rPr>
          <w:rFonts w:hint="eastAsia" w:ascii="宋体" w:hAnsi="宋体" w:eastAsia="宋体" w:cs="宋体"/>
          <w:color w:val="000000"/>
          <w:sz w:val="24"/>
          <w:szCs w:val="21"/>
          <w:highlight w:val="none"/>
          <w:lang w:eastAsia="zh-CN"/>
        </w:rPr>
        <w:t>）评审方法和评审标准</w:t>
      </w:r>
    </w:p>
    <w:p w14:paraId="55EA85FD">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t>（</w:t>
      </w:r>
      <w:r>
        <w:rPr>
          <w:rFonts w:hint="eastAsia" w:ascii="宋体" w:hAnsi="宋体" w:eastAsia="宋体" w:cs="宋体"/>
          <w:color w:val="000000"/>
          <w:sz w:val="24"/>
          <w:szCs w:val="21"/>
          <w:highlight w:val="none"/>
          <w:lang w:val="en-US" w:eastAsia="zh-CN"/>
        </w:rPr>
        <w:t>8</w:t>
      </w:r>
      <w:r>
        <w:rPr>
          <w:rFonts w:hint="eastAsia" w:ascii="宋体" w:hAnsi="宋体" w:eastAsia="宋体" w:cs="宋体"/>
          <w:color w:val="000000"/>
          <w:sz w:val="24"/>
          <w:szCs w:val="21"/>
          <w:highlight w:val="none"/>
          <w:lang w:eastAsia="zh-CN"/>
        </w:rPr>
        <w:t>）响应文件格式</w:t>
      </w:r>
    </w:p>
    <w:p w14:paraId="120BCE04">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请仔细检查磋商文件是否齐全，如有缺漏请立即与采购人或采购代理机构联系解决。</w:t>
      </w:r>
    </w:p>
    <w:p w14:paraId="77D69D01">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6</w:t>
      </w:r>
      <w:r>
        <w:rPr>
          <w:rFonts w:hint="eastAsia" w:ascii="宋体" w:hAnsi="宋体" w:eastAsia="宋体" w:cs="宋体"/>
          <w:color w:val="000000"/>
          <w:sz w:val="24"/>
          <w:szCs w:val="21"/>
          <w:highlight w:val="none"/>
        </w:rPr>
        <w:t>.2</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4516A41B">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7、磋商文件的澄清</w:t>
      </w:r>
    </w:p>
    <w:p w14:paraId="7BEEAA42">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7</w:t>
      </w:r>
      <w:r>
        <w:rPr>
          <w:rFonts w:hint="eastAsia" w:ascii="宋体" w:hAnsi="宋体" w:eastAsia="宋体" w:cs="宋体"/>
          <w:color w:val="000000"/>
          <w:sz w:val="24"/>
          <w:szCs w:val="21"/>
          <w:highlight w:val="none"/>
        </w:rPr>
        <w:t>.1</w:t>
      </w:r>
      <w:r>
        <w:rPr>
          <w:rFonts w:hint="eastAsia" w:ascii="宋体" w:hAnsi="宋体" w:eastAsia="宋体" w:cs="宋体"/>
          <w:color w:val="000000"/>
          <w:sz w:val="24"/>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 w:val="24"/>
          <w:szCs w:val="21"/>
          <w:highlight w:val="none"/>
        </w:rPr>
        <w:t>。</w:t>
      </w:r>
    </w:p>
    <w:p w14:paraId="66A1A300">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7</w:t>
      </w:r>
      <w:r>
        <w:rPr>
          <w:rFonts w:hint="eastAsia" w:ascii="宋体" w:hAnsi="宋体" w:eastAsia="宋体" w:cs="宋体"/>
          <w:color w:val="000000"/>
          <w:sz w:val="24"/>
          <w:szCs w:val="21"/>
          <w:highlight w:val="none"/>
        </w:rPr>
        <w:t>.2</w:t>
      </w:r>
      <w:r>
        <w:rPr>
          <w:rFonts w:hint="eastAsia" w:ascii="宋体" w:hAnsi="宋体" w:eastAsia="宋体" w:cs="宋体"/>
          <w:color w:val="000000"/>
          <w:sz w:val="24"/>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p>
    <w:p w14:paraId="1566EE6B">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8、磋商文件的修改</w:t>
      </w:r>
    </w:p>
    <w:p w14:paraId="4B2758F3">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8</w:t>
      </w:r>
      <w:r>
        <w:rPr>
          <w:rFonts w:hint="eastAsia" w:ascii="宋体" w:hAnsi="宋体" w:eastAsia="宋体" w:cs="宋体"/>
          <w:color w:val="000000"/>
          <w:sz w:val="24"/>
          <w:szCs w:val="21"/>
          <w:highlight w:val="none"/>
        </w:rPr>
        <w:t xml:space="preserve">.1 </w:t>
      </w:r>
      <w:r>
        <w:rPr>
          <w:rFonts w:hint="eastAsia" w:ascii="宋体" w:hAnsi="宋体" w:eastAsia="宋体" w:cs="宋体"/>
          <w:color w:val="000000"/>
          <w:sz w:val="24"/>
          <w:highlight w:val="none"/>
        </w:rPr>
        <w:t>在响应文件提交截止时间前，</w:t>
      </w:r>
      <w:r>
        <w:rPr>
          <w:rFonts w:hint="eastAsia" w:ascii="宋体" w:hAnsi="宋体" w:eastAsia="宋体" w:cs="宋体"/>
          <w:color w:val="000000"/>
          <w:sz w:val="24"/>
          <w:highlight w:val="none"/>
          <w:lang w:eastAsia="zh-CN"/>
        </w:rPr>
        <w:t>代理机构</w:t>
      </w:r>
      <w:r>
        <w:rPr>
          <w:rFonts w:hint="eastAsia" w:ascii="宋体" w:hAnsi="宋体" w:eastAsia="宋体" w:cs="宋体"/>
          <w:color w:val="000000"/>
          <w:sz w:val="24"/>
          <w:highlight w:val="none"/>
        </w:rPr>
        <w:t>可以对磋商文件进行澄清和修改</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代理机构</w:t>
      </w:r>
      <w:r>
        <w:rPr>
          <w:rFonts w:hint="eastAsia" w:ascii="宋体" w:hAnsi="宋体" w:eastAsia="宋体" w:cs="宋体"/>
          <w:color w:val="000000"/>
          <w:sz w:val="24"/>
          <w:highlight w:val="none"/>
        </w:rPr>
        <w:t>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更正公告内容将作为磋商文件的组成部分，并对供应商具有约束力。不足5日的，</w:t>
      </w:r>
      <w:r>
        <w:rPr>
          <w:rFonts w:hint="eastAsia" w:ascii="宋体" w:hAnsi="宋体" w:eastAsia="宋体" w:cs="宋体"/>
          <w:color w:val="000000"/>
          <w:sz w:val="24"/>
          <w:highlight w:val="none"/>
          <w:lang w:eastAsia="zh-CN"/>
        </w:rPr>
        <w:t>代理机构</w:t>
      </w:r>
      <w:r>
        <w:rPr>
          <w:rFonts w:hint="eastAsia" w:ascii="宋体" w:hAnsi="宋体" w:eastAsia="宋体" w:cs="宋体"/>
          <w:color w:val="000000"/>
          <w:sz w:val="24"/>
          <w:highlight w:val="none"/>
        </w:rPr>
        <w:t>将顺延提交首次响应文件截止时间</w:t>
      </w:r>
      <w:r>
        <w:rPr>
          <w:rFonts w:hint="eastAsia" w:ascii="宋体" w:hAnsi="宋体" w:eastAsia="宋体" w:cs="宋体"/>
          <w:color w:val="000000"/>
          <w:sz w:val="24"/>
          <w:szCs w:val="21"/>
          <w:highlight w:val="none"/>
        </w:rPr>
        <w:t>。</w:t>
      </w:r>
    </w:p>
    <w:p w14:paraId="4DAB3C6C">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8.2 </w:t>
      </w:r>
      <w:r>
        <w:rPr>
          <w:rFonts w:hint="eastAsia" w:ascii="宋体" w:hAnsi="宋体" w:eastAsia="宋体" w:cs="宋体"/>
          <w:color w:val="000000"/>
          <w:sz w:val="24"/>
          <w:szCs w:val="21"/>
          <w:highlight w:val="none"/>
        </w:rPr>
        <w:t>供应商对采购人提供的采购文件所做出的推论、解释和结论，采购人概不负责。供应商由于对采购文件的任何推论和误解以及采购人对有关问题的口头解释所造成的后果，均由各潜在供应商自负。</w:t>
      </w:r>
    </w:p>
    <w:p w14:paraId="15580ADF">
      <w:pPr>
        <w:shd w:val="clear" w:color="auto" w:fill="auto"/>
        <w:tabs>
          <w:tab w:val="left" w:pos="900"/>
        </w:tabs>
        <w:spacing w:line="360" w:lineRule="auto"/>
        <w:ind w:firstLine="802"/>
        <w:jc w:val="center"/>
        <w:outlineLvl w:val="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三、响应文件的编制</w:t>
      </w:r>
    </w:p>
    <w:p w14:paraId="3B211492">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9、响应文件的语言及度量衡单位</w:t>
      </w:r>
    </w:p>
    <w:p w14:paraId="396CA0B7">
      <w:pPr>
        <w:keepNext w:val="0"/>
        <w:keepLines w:val="0"/>
        <w:pageBreakBefore w:val="0"/>
        <w:widowControl w:val="0"/>
        <w:spacing w:beforeAutospacing="0" w:afterAutospacing="0" w:line="360" w:lineRule="auto"/>
        <w:ind w:left="0" w:right="0" w:firstLine="802"/>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9</w:t>
      </w: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供应商提交的响应文件以及供应商与采购人或采购代理机构就有关磋商的所有来往通知、函件和文件均应使用简体中文。</w:t>
      </w:r>
    </w:p>
    <w:p w14:paraId="333D22BD">
      <w:pPr>
        <w:keepNext w:val="0"/>
        <w:keepLines w:val="0"/>
        <w:pageBreakBefore w:val="0"/>
        <w:widowControl w:val="0"/>
        <w:spacing w:beforeAutospacing="0" w:afterAutospacing="0" w:line="360" w:lineRule="auto"/>
        <w:ind w:left="0" w:right="0" w:firstLine="802"/>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9</w:t>
      </w:r>
      <w:r>
        <w:rPr>
          <w:rFonts w:hint="eastAsia" w:ascii="宋体" w:hAnsi="宋体" w:eastAsia="宋体" w:cs="宋体"/>
          <w:color w:val="000000"/>
          <w:sz w:val="24"/>
          <w:highlight w:val="none"/>
        </w:rPr>
        <w:t>.2 除技术性能另有规定外，响应文件所使用的度量衡单位，均须采用国家法定计量单位。</w:t>
      </w:r>
    </w:p>
    <w:p w14:paraId="09DE9A56">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10、响应文件构成</w:t>
      </w:r>
    </w:p>
    <w:p w14:paraId="77905F49">
      <w:pPr>
        <w:keepNext w:val="0"/>
        <w:keepLines w:val="0"/>
        <w:pageBreakBefore w:val="0"/>
        <w:widowControl w:val="0"/>
        <w:spacing w:beforeAutospacing="0" w:afterAutospacing="0" w:line="360" w:lineRule="auto"/>
        <w:ind w:left="0" w:right="0" w:firstLine="802"/>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10</w:t>
      </w:r>
      <w:r>
        <w:rPr>
          <w:rFonts w:hint="eastAsia" w:ascii="宋体" w:hAnsi="宋体" w:eastAsia="宋体" w:cs="宋体"/>
          <w:color w:val="000000"/>
          <w:sz w:val="24"/>
          <w:highlight w:val="none"/>
        </w:rPr>
        <w:t>.1供应商编写的响应文件应包括资格证明文件、符合性证明文件、商务技术标文件、价格标文件其他证明文件、磋商响应函等部分。</w:t>
      </w:r>
    </w:p>
    <w:p w14:paraId="704DFBA4">
      <w:pPr>
        <w:keepNext w:val="0"/>
        <w:keepLines w:val="0"/>
        <w:pageBreakBefore w:val="0"/>
        <w:widowControl w:val="0"/>
        <w:spacing w:beforeAutospacing="0" w:afterAutospacing="0" w:line="360" w:lineRule="auto"/>
        <w:ind w:left="0" w:right="0" w:firstLine="802"/>
        <w:jc w:val="left"/>
        <w:outlineLvl w:val="9"/>
        <w:rPr>
          <w:rFonts w:hint="eastAsia" w:ascii="宋体" w:hAnsi="宋体" w:eastAsia="宋体" w:cs="宋体"/>
          <w:b/>
          <w:bCs/>
          <w:sz w:val="28"/>
          <w:szCs w:val="28"/>
          <w:highlight w:val="none"/>
          <w:lang w:val="en-US" w:eastAsia="zh-CN"/>
        </w:rPr>
      </w:pPr>
      <w:r>
        <w:rPr>
          <w:rFonts w:hint="eastAsia" w:ascii="宋体" w:hAnsi="宋体" w:eastAsia="宋体" w:cs="宋体"/>
          <w:color w:val="000000"/>
          <w:sz w:val="24"/>
          <w:highlight w:val="none"/>
          <w:lang w:val="en-US" w:eastAsia="zh-CN"/>
        </w:rPr>
        <w:t>10</w:t>
      </w:r>
      <w:r>
        <w:rPr>
          <w:rFonts w:hint="eastAsia" w:ascii="宋体" w:hAnsi="宋体" w:eastAsia="宋体" w:cs="宋体"/>
          <w:color w:val="000000"/>
          <w:sz w:val="24"/>
          <w:highlight w:val="none"/>
        </w:rPr>
        <w:t>.2 如标书制作工具中格式和内容与“江苏政府采购网”发布的磋商文件不一致，请以“江苏政府采购网”发布的磋商文件为准。</w:t>
      </w:r>
    </w:p>
    <w:p w14:paraId="5905BEBF">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bookmarkStart w:id="92" w:name="_Toc49090507"/>
      <w:bookmarkStart w:id="93" w:name="_Toc513029216"/>
      <w:bookmarkStart w:id="94" w:name="_Toc14577357"/>
      <w:bookmarkStart w:id="95" w:name="_Toc49090508"/>
      <w:bookmarkStart w:id="96" w:name="_Toc49090509"/>
      <w:bookmarkStart w:id="97" w:name="_Toc14577354"/>
      <w:bookmarkStart w:id="98" w:name="_Toc513029219"/>
      <w:r>
        <w:rPr>
          <w:rFonts w:hint="eastAsia" w:ascii="宋体" w:hAnsi="宋体" w:eastAsia="宋体" w:cs="宋体"/>
          <w:b/>
          <w:bCs/>
          <w:sz w:val="28"/>
          <w:szCs w:val="28"/>
          <w:highlight w:val="none"/>
          <w:lang w:val="en-US" w:eastAsia="zh-CN"/>
        </w:rPr>
        <w:t>11、证明磋商响应标的符合磋商文件规定的文件</w:t>
      </w:r>
      <w:bookmarkEnd w:id="92"/>
      <w:bookmarkEnd w:id="93"/>
      <w:bookmarkEnd w:id="94"/>
      <w:bookmarkEnd w:id="95"/>
      <w:bookmarkEnd w:id="96"/>
      <w:bookmarkEnd w:id="97"/>
      <w:bookmarkEnd w:id="98"/>
    </w:p>
    <w:p w14:paraId="544F2DD3">
      <w:pPr>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11.</w:t>
      </w:r>
      <w:r>
        <w:rPr>
          <w:rFonts w:hint="eastAsia" w:ascii="宋体" w:hAnsi="宋体" w:eastAsia="宋体" w:cs="宋体"/>
          <w:sz w:val="24"/>
          <w:highlight w:val="none"/>
        </w:rPr>
        <w:t>1</w:t>
      </w:r>
      <w:r>
        <w:rPr>
          <w:rFonts w:hint="eastAsia" w:ascii="宋体" w:hAnsi="宋体" w:eastAsia="宋体" w:cs="宋体"/>
          <w:sz w:val="24"/>
          <w:highlight w:val="none"/>
          <w:lang w:val="en-US" w:eastAsia="zh-CN"/>
        </w:rPr>
        <w:t>供应商</w:t>
      </w:r>
      <w:r>
        <w:rPr>
          <w:rFonts w:hint="eastAsia" w:ascii="宋体" w:hAnsi="宋体" w:eastAsia="宋体" w:cs="宋体"/>
          <w:sz w:val="24"/>
          <w:highlight w:val="none"/>
        </w:rPr>
        <w:t>应按照磋商文件要求提交证明文件，证明其及磋商响应标的符合磋商文件规定。</w:t>
      </w:r>
    </w:p>
    <w:p w14:paraId="4BA056B0">
      <w:pPr>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11.2</w:t>
      </w:r>
      <w:r>
        <w:rPr>
          <w:rFonts w:hint="eastAsia" w:ascii="宋体" w:hAnsi="宋体" w:eastAsia="宋体" w:cs="宋体"/>
          <w:sz w:val="24"/>
          <w:highlight w:val="none"/>
        </w:rPr>
        <w:t>磋商文件对证明文件无明确形式要求的，证明文件可以以文字资料、图纸和数据等形式提交。</w:t>
      </w:r>
    </w:p>
    <w:p w14:paraId="2961CE6C">
      <w:pPr>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11.3供应商</w:t>
      </w:r>
      <w:r>
        <w:rPr>
          <w:rFonts w:hint="eastAsia" w:ascii="宋体" w:hAnsi="宋体" w:eastAsia="宋体" w:cs="宋体"/>
          <w:sz w:val="24"/>
          <w:highlight w:val="none"/>
        </w:rPr>
        <w:t>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56099BB7">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12、磋商响应有效期</w:t>
      </w:r>
    </w:p>
    <w:p w14:paraId="13E4AB14">
      <w:pPr>
        <w:keepNext w:val="0"/>
        <w:keepLines w:val="0"/>
        <w:pageBreakBefore w:val="0"/>
        <w:widowControl w:val="0"/>
        <w:spacing w:beforeAutospacing="0" w:afterAutospacing="0" w:line="360" w:lineRule="auto"/>
        <w:ind w:left="0" w:right="0" w:firstLine="802"/>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12</w:t>
      </w:r>
      <w:r>
        <w:rPr>
          <w:rFonts w:hint="eastAsia" w:ascii="宋体" w:hAnsi="宋体" w:eastAsia="宋体" w:cs="宋体"/>
          <w:color w:val="000000"/>
          <w:sz w:val="24"/>
          <w:highlight w:val="none"/>
        </w:rPr>
        <w:t>.1 磋商响应有效期为采购文件规定的响应文件提交截止时间后</w:t>
      </w:r>
      <w:r>
        <w:rPr>
          <w:rFonts w:hint="eastAsia" w:ascii="宋体" w:hAnsi="宋体" w:eastAsia="宋体" w:cs="宋体"/>
          <w:color w:val="000000"/>
          <w:sz w:val="24"/>
          <w:highlight w:val="none"/>
          <w:u w:val="single"/>
        </w:rPr>
        <w:t>六十（60）</w:t>
      </w:r>
      <w:r>
        <w:rPr>
          <w:rFonts w:hint="eastAsia" w:ascii="宋体" w:hAnsi="宋体" w:eastAsia="宋体" w:cs="宋体"/>
          <w:color w:val="000000"/>
          <w:sz w:val="24"/>
          <w:highlight w:val="none"/>
        </w:rPr>
        <w:t>天。磋商响应有效期比规定短的将被视为非实质性响应而予以拒绝。</w:t>
      </w:r>
    </w:p>
    <w:p w14:paraId="6C4288E0">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13、磋商响应有效期的延长</w:t>
      </w:r>
    </w:p>
    <w:p w14:paraId="6F9C20AF">
      <w:pPr>
        <w:keepNext w:val="0"/>
        <w:keepLines w:val="0"/>
        <w:pageBreakBefore w:val="0"/>
        <w:widowControl w:val="0"/>
        <w:spacing w:beforeAutospacing="0" w:afterAutospacing="0" w:line="360" w:lineRule="auto"/>
        <w:ind w:left="0" w:right="0" w:firstLine="802"/>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13</w:t>
      </w:r>
      <w:r>
        <w:rPr>
          <w:rFonts w:hint="eastAsia" w:ascii="宋体" w:hAnsi="宋体" w:eastAsia="宋体" w:cs="宋体"/>
          <w:color w:val="000000"/>
          <w:sz w:val="24"/>
          <w:highlight w:val="none"/>
        </w:rPr>
        <w:t>.1 在特殊情况下，采购人或采购代理机构于原磋商响应有效期满之前，可向</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提出延长磋商响应有效期的要求。这种要求与答复均应采用书面形式。</w:t>
      </w:r>
      <w:r>
        <w:rPr>
          <w:rFonts w:hint="eastAsia" w:ascii="宋体" w:hAnsi="宋体" w:eastAsia="宋体" w:cs="宋体"/>
          <w:color w:val="000000"/>
          <w:sz w:val="24"/>
          <w:highlight w:val="none"/>
          <w:lang w:val="en-US" w:eastAsia="zh-CN"/>
        </w:rPr>
        <w:t>供应商</w:t>
      </w:r>
      <w:r>
        <w:rPr>
          <w:rFonts w:hint="eastAsia" w:ascii="宋体" w:hAnsi="宋体" w:eastAsia="宋体" w:cs="宋体"/>
          <w:color w:val="000000"/>
          <w:sz w:val="24"/>
          <w:highlight w:val="none"/>
        </w:rPr>
        <w:t>可以拒绝采购人或采购代理机构的这一要求而放弃磋商响应，同意延长磋商响应有效期的</w:t>
      </w:r>
      <w:r>
        <w:rPr>
          <w:rFonts w:hint="eastAsia" w:ascii="宋体" w:hAnsi="宋体" w:eastAsia="宋体" w:cs="宋体"/>
          <w:color w:val="000000"/>
          <w:sz w:val="24"/>
          <w:highlight w:val="none"/>
          <w:lang w:val="en-US" w:eastAsia="zh-CN"/>
        </w:rPr>
        <w:t>供应商</w:t>
      </w:r>
      <w:r>
        <w:rPr>
          <w:rFonts w:hint="eastAsia" w:ascii="宋体" w:hAnsi="宋体" w:eastAsia="宋体" w:cs="宋体"/>
          <w:color w:val="000000"/>
          <w:sz w:val="24"/>
          <w:highlight w:val="none"/>
        </w:rPr>
        <w:t>既不能要求也不允许修改其响应文件。受磋商响应有效期约束的所有权利与义务均延长至新的有效期。</w:t>
      </w:r>
    </w:p>
    <w:p w14:paraId="521A865C">
      <w:pPr>
        <w:shd w:val="clear" w:color="auto" w:fill="auto"/>
        <w:tabs>
          <w:tab w:val="left" w:pos="900"/>
        </w:tabs>
        <w:spacing w:line="360" w:lineRule="auto"/>
        <w:ind w:firstLine="802"/>
        <w:jc w:val="center"/>
        <w:outlineLvl w:val="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四、磋商报价</w:t>
      </w:r>
    </w:p>
    <w:p w14:paraId="770DA771">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14、磋商报价</w:t>
      </w:r>
    </w:p>
    <w:p w14:paraId="3E849640">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14</w:t>
      </w:r>
      <w:r>
        <w:rPr>
          <w:rFonts w:hint="eastAsia" w:ascii="宋体" w:hAnsi="宋体" w:eastAsia="宋体" w:cs="宋体"/>
          <w:color w:val="000000"/>
          <w:sz w:val="24"/>
          <w:highlight w:val="none"/>
        </w:rPr>
        <w:t>.1 磋商响应报价应是采购文件所确定的采购范围内的全部工作内容的价格体现</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并包括</w:t>
      </w:r>
      <w:r>
        <w:rPr>
          <w:rFonts w:hint="eastAsia" w:ascii="宋体" w:hAnsi="宋体" w:eastAsia="宋体" w:cs="宋体"/>
          <w:color w:val="000000"/>
          <w:sz w:val="24"/>
          <w:highlight w:val="none"/>
          <w:lang w:val="en-US" w:eastAsia="zh-CN"/>
        </w:rPr>
        <w:t>供应商</w:t>
      </w:r>
      <w:r>
        <w:rPr>
          <w:rFonts w:hint="eastAsia" w:ascii="宋体" w:hAnsi="宋体" w:eastAsia="宋体" w:cs="宋体"/>
          <w:color w:val="000000"/>
          <w:sz w:val="24"/>
          <w:highlight w:val="none"/>
        </w:rPr>
        <w:t>技术标中提出的所有工程内容及措施的费用</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其应包括但不限于施工设备、劳务、管理、材料、采购、运输、装卸、保管、制造、安装、维护、利润、税金及政策性文件规定的各项应有费用（含现场垃圾清理费用）。</w:t>
      </w:r>
    </w:p>
    <w:p w14:paraId="20BAF1AA">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14</w:t>
      </w:r>
      <w:r>
        <w:rPr>
          <w:rFonts w:hint="eastAsia" w:ascii="宋体" w:hAnsi="宋体" w:eastAsia="宋体" w:cs="宋体"/>
          <w:color w:val="000000"/>
          <w:sz w:val="24"/>
          <w:highlight w:val="none"/>
        </w:rPr>
        <w:t>.2 磋商报价方式：本工程采用下列第</w:t>
      </w:r>
      <w:r>
        <w:rPr>
          <w:rFonts w:hint="eastAsia" w:ascii="宋体" w:hAnsi="宋体" w:eastAsia="宋体" w:cs="宋体"/>
          <w:color w:val="000000"/>
          <w:sz w:val="24"/>
          <w:highlight w:val="none"/>
          <w:u w:val="single"/>
          <w:lang w:eastAsia="zh-CN"/>
        </w:rPr>
        <w:t>（</w:t>
      </w:r>
      <w:r>
        <w:rPr>
          <w:rFonts w:hint="eastAsia" w:ascii="宋体" w:hAnsi="宋体" w:eastAsia="宋体" w:cs="宋体"/>
          <w:color w:val="000000"/>
          <w:sz w:val="24"/>
          <w:highlight w:val="none"/>
          <w:u w:val="single"/>
          <w:lang w:val="en-US" w:eastAsia="zh-CN"/>
        </w:rPr>
        <w:t>2</w:t>
      </w:r>
      <w:r>
        <w:rPr>
          <w:rFonts w:hint="eastAsia" w:ascii="宋体" w:hAnsi="宋体" w:eastAsia="宋体" w:cs="宋体"/>
          <w:color w:val="000000"/>
          <w:sz w:val="24"/>
          <w:highlight w:val="none"/>
          <w:u w:val="single"/>
          <w:lang w:eastAsia="zh-CN"/>
        </w:rPr>
        <w:t>）</w:t>
      </w:r>
      <w:r>
        <w:rPr>
          <w:rFonts w:hint="eastAsia" w:ascii="宋体" w:hAnsi="宋体" w:eastAsia="宋体" w:cs="宋体"/>
          <w:color w:val="000000"/>
          <w:sz w:val="24"/>
          <w:highlight w:val="none"/>
        </w:rPr>
        <w:t>种方式。</w:t>
      </w:r>
    </w:p>
    <w:p w14:paraId="32AC5798">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lang w:eastAsia="zh-CN"/>
        </w:rPr>
        <w:t>）可调价格报价：</w:t>
      </w:r>
      <w:r>
        <w:rPr>
          <w:rFonts w:hint="eastAsia" w:ascii="宋体" w:hAnsi="宋体" w:eastAsia="宋体" w:cs="宋体"/>
          <w:color w:val="000000"/>
          <w:sz w:val="24"/>
          <w:highlight w:val="none"/>
          <w:lang w:val="en-US" w:eastAsia="zh-CN"/>
        </w:rPr>
        <w:t>供应商</w:t>
      </w:r>
      <w:r>
        <w:rPr>
          <w:rFonts w:hint="eastAsia" w:ascii="宋体" w:hAnsi="宋体" w:eastAsia="宋体" w:cs="宋体"/>
          <w:color w:val="000000"/>
          <w:sz w:val="24"/>
          <w:highlight w:val="none"/>
          <w:lang w:eastAsia="zh-CN"/>
        </w:rPr>
        <w:t>的磋商响应报价可根据合同实施期间的市场变化和政策性调整而变动。</w:t>
      </w:r>
    </w:p>
    <w:p w14:paraId="18E41241">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（2）固定单价报价：</w:t>
      </w:r>
      <w:r>
        <w:rPr>
          <w:rFonts w:hint="eastAsia" w:ascii="宋体" w:hAnsi="宋体" w:eastAsia="宋体" w:cs="宋体"/>
          <w:color w:val="000000"/>
          <w:sz w:val="24"/>
          <w:highlight w:val="none"/>
          <w:lang w:val="en-US" w:eastAsia="zh-CN"/>
        </w:rPr>
        <w:t>供应商</w:t>
      </w:r>
      <w:r>
        <w:rPr>
          <w:rFonts w:hint="eastAsia" w:ascii="宋体" w:hAnsi="宋体" w:eastAsia="宋体" w:cs="宋体"/>
          <w:color w:val="000000"/>
          <w:sz w:val="24"/>
          <w:highlight w:val="none"/>
        </w:rPr>
        <w:t>应充分考虑施工期间各类建材的市场风险和政策性调整确定风险系数计入总报价，今后不作调整。设计变更和采购人要求变动的内容除外。结算方式在合同专用条款中明确。</w:t>
      </w:r>
    </w:p>
    <w:p w14:paraId="47A1092E">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本次采购采用竞争性磋商，因第二轮报价只报总价，结算时，以成交</w:t>
      </w:r>
      <w:r>
        <w:rPr>
          <w:rFonts w:hint="eastAsia" w:ascii="宋体" w:hAnsi="宋体" w:eastAsia="宋体" w:cs="宋体"/>
          <w:b/>
          <w:bCs/>
          <w:color w:val="000000"/>
          <w:sz w:val="24"/>
          <w:highlight w:val="none"/>
          <w:lang w:val="en-US" w:eastAsia="zh-CN"/>
        </w:rPr>
        <w:t>供应商</w:t>
      </w:r>
      <w:r>
        <w:rPr>
          <w:rFonts w:hint="eastAsia" w:ascii="宋体" w:hAnsi="宋体" w:eastAsia="宋体" w:cs="宋体"/>
          <w:b/>
          <w:bCs/>
          <w:color w:val="000000"/>
          <w:sz w:val="24"/>
          <w:highlight w:val="none"/>
        </w:rPr>
        <w:t>提交的综合单价同比下浮【下浮率=（1-第二轮报价/第一轮报价）*100%】。</w:t>
      </w:r>
    </w:p>
    <w:p w14:paraId="3EAE5D65">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14</w:t>
      </w:r>
      <w:r>
        <w:rPr>
          <w:rFonts w:hint="eastAsia" w:ascii="宋体" w:hAnsi="宋体" w:eastAsia="宋体" w:cs="宋体"/>
          <w:b w:val="0"/>
          <w:bCs w:val="0"/>
          <w:color w:val="000000"/>
          <w:sz w:val="24"/>
          <w:highlight w:val="none"/>
        </w:rPr>
        <w:t>.3 磋商报价的计价方法</w:t>
      </w:r>
    </w:p>
    <w:p w14:paraId="6533ADFF">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本工程项目采用</w:t>
      </w:r>
      <w:r>
        <w:rPr>
          <w:rFonts w:hint="eastAsia" w:ascii="宋体" w:hAnsi="宋体" w:eastAsia="宋体" w:cs="宋体"/>
          <w:color w:val="000000"/>
          <w:sz w:val="24"/>
          <w:highlight w:val="none"/>
          <w:u w:val="single"/>
        </w:rPr>
        <w:t xml:space="preserve"> 工程量清单 </w:t>
      </w:r>
      <w:r>
        <w:rPr>
          <w:rFonts w:hint="eastAsia" w:ascii="宋体" w:hAnsi="宋体" w:eastAsia="宋体" w:cs="宋体"/>
          <w:color w:val="000000"/>
          <w:sz w:val="24"/>
          <w:highlight w:val="none"/>
        </w:rPr>
        <w:t>计价方法。</w:t>
      </w:r>
      <w:r>
        <w:rPr>
          <w:rFonts w:hint="eastAsia" w:ascii="宋体" w:hAnsi="宋体" w:eastAsia="宋体" w:cs="宋体"/>
          <w:color w:val="000000"/>
          <w:sz w:val="24"/>
          <w:highlight w:val="none"/>
          <w:lang w:val="en-US" w:eastAsia="zh-CN"/>
        </w:rPr>
        <w:t>供应商</w:t>
      </w:r>
      <w:r>
        <w:rPr>
          <w:rFonts w:hint="eastAsia" w:ascii="宋体" w:hAnsi="宋体" w:eastAsia="宋体" w:cs="宋体"/>
          <w:color w:val="000000"/>
          <w:sz w:val="24"/>
          <w:highlight w:val="none"/>
        </w:rPr>
        <w:t>应根据采购人提供的工程量清单计算单价、合价以及各种政策性费用。</w:t>
      </w:r>
    </w:p>
    <w:p w14:paraId="24BDD327">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除非合同中另有规定，</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在报价中所报的单价和合价，以及磋商报价汇总表中的价格均包括完成该工程项目的成本、利润、税金、开办费、技术措施费、机械进退场费、风险费、政策性文件规定费用等所有费用。</w:t>
      </w:r>
    </w:p>
    <w:p w14:paraId="66819418">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3</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施工用水电，采购人不再另行支付。</w:t>
      </w:r>
    </w:p>
    <w:p w14:paraId="7055B708">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4</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本项目采用营改增后的一般计税方法计算报价。</w:t>
      </w:r>
    </w:p>
    <w:p w14:paraId="5B28F96D">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14</w:t>
      </w:r>
      <w:r>
        <w:rPr>
          <w:rFonts w:hint="eastAsia" w:ascii="宋体" w:hAnsi="宋体" w:eastAsia="宋体" w:cs="宋体"/>
          <w:color w:val="000000"/>
          <w:sz w:val="24"/>
          <w:highlight w:val="none"/>
        </w:rPr>
        <w:t>.4 可选用的工程预算、费用定额和政策性文件</w:t>
      </w:r>
    </w:p>
    <w:p w14:paraId="27D63557">
      <w:pPr>
        <w:tabs>
          <w:tab w:val="left" w:pos="900"/>
        </w:tabs>
        <w:spacing w:line="360" w:lineRule="auto"/>
        <w:ind w:firstLine="48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用于磋商报价可参考的依据为：</w:t>
      </w:r>
      <w:r>
        <w:rPr>
          <w:rFonts w:ascii="Times New Roman" w:hAnsi="Times New Roman" w:eastAsia="宋体" w:cs="Times New Roman"/>
          <w:sz w:val="24"/>
          <w:highlight w:val="none"/>
        </w:rPr>
        <w:t>《</w:t>
      </w:r>
      <w:r>
        <w:rPr>
          <w:rFonts w:ascii="宋体" w:hAnsi="宋体" w:eastAsia="宋体" w:cs="宋体"/>
          <w:sz w:val="24"/>
          <w:szCs w:val="24"/>
        </w:rPr>
        <w:t>建设工程工程量清单计价标准</w:t>
      </w:r>
      <w:r>
        <w:rPr>
          <w:rFonts w:ascii="Times New Roman" w:hAnsi="Times New Roman" w:eastAsia="宋体" w:cs="Times New Roman"/>
          <w:sz w:val="24"/>
          <w:highlight w:val="none"/>
        </w:rPr>
        <w:t>》、《</w:t>
      </w:r>
      <w:r>
        <w:rPr>
          <w:rFonts w:ascii="宋体" w:hAnsi="宋体" w:eastAsia="宋体" w:cs="宋体"/>
          <w:sz w:val="24"/>
          <w:szCs w:val="24"/>
        </w:rPr>
        <w:t>江苏省市政工程消耗量</w:t>
      </w:r>
      <w:r>
        <w:rPr>
          <w:rFonts w:ascii="Times New Roman" w:hAnsi="Times New Roman" w:eastAsia="宋体" w:cs="Times New Roman"/>
          <w:sz w:val="24"/>
          <w:highlight w:val="none"/>
        </w:rPr>
        <w:t>》、近期的《连云港市建设工程材料市场参考价》</w:t>
      </w: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lang w:val="en-US" w:eastAsia="zh-CN"/>
        </w:rPr>
        <w:t>有最新标准的按最新标准执行</w:t>
      </w:r>
      <w:r>
        <w:rPr>
          <w:rFonts w:ascii="Times New Roman" w:hAnsi="Times New Roman" w:eastAsia="宋体" w:cs="Times New Roman"/>
          <w:sz w:val="24"/>
          <w:highlight w:val="none"/>
        </w:rPr>
        <w:t>。</w:t>
      </w:r>
    </w:p>
    <w:p w14:paraId="6A91EB33">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政策性文件按照现行江苏省建设厅、连云港市建设局颁发的相关文件规定执行。</w:t>
      </w:r>
    </w:p>
    <w:p w14:paraId="17FE894E">
      <w:pPr>
        <w:keepNext w:val="0"/>
        <w:keepLines w:val="0"/>
        <w:pageBreakBefore w:val="0"/>
        <w:widowControl w:val="0"/>
        <w:numPr>
          <w:ilvl w:val="0"/>
          <w:numId w:val="0"/>
        </w:numPr>
        <w:spacing w:beforeAutospacing="0" w:afterAutospacing="0" w:line="360" w:lineRule="auto"/>
        <w:ind w:right="0" w:firstLine="787"/>
        <w:jc w:val="both"/>
        <w:outlineLvl w:val="9"/>
        <w:rPr>
          <w:rFonts w:hint="eastAsia" w:ascii="宋体" w:hAnsi="宋体" w:eastAsia="宋体" w:cs="宋体"/>
          <w:b w:val="0"/>
          <w:bCs w:val="0"/>
          <w:color w:val="000000"/>
          <w:sz w:val="24"/>
          <w:highlight w:val="none"/>
          <w:lang w:eastAsia="zh-CN"/>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4</w:t>
      </w:r>
      <w:r>
        <w:rPr>
          <w:rFonts w:hint="eastAsia" w:ascii="宋体" w:hAnsi="宋体" w:eastAsia="宋体" w:cs="宋体"/>
          <w:color w:val="000000"/>
          <w:sz w:val="24"/>
          <w:highlight w:val="none"/>
        </w:rPr>
        <w:t xml:space="preserve">.5 </w:t>
      </w:r>
      <w:r>
        <w:rPr>
          <w:rFonts w:hint="eastAsia" w:ascii="宋体" w:hAnsi="宋体" w:eastAsia="宋体" w:cs="宋体"/>
          <w:b/>
          <w:bCs/>
          <w:color w:val="000000"/>
          <w:sz w:val="24"/>
          <w:highlight w:val="none"/>
        </w:rPr>
        <w:t>经磋商后，如果最后报价高于或低于</w:t>
      </w:r>
      <w:r>
        <w:rPr>
          <w:rFonts w:hint="eastAsia" w:ascii="宋体" w:hAnsi="宋体" w:eastAsia="宋体" w:cs="宋体"/>
          <w:b/>
          <w:bCs/>
          <w:color w:val="000000"/>
          <w:sz w:val="24"/>
          <w:highlight w:val="none"/>
          <w:lang w:eastAsia="zh-CN"/>
        </w:rPr>
        <w:t>供应商</w:t>
      </w:r>
      <w:r>
        <w:rPr>
          <w:rFonts w:hint="eastAsia" w:ascii="宋体" w:hAnsi="宋体" w:eastAsia="宋体" w:cs="宋体"/>
          <w:b/>
          <w:bCs/>
          <w:color w:val="000000"/>
          <w:sz w:val="24"/>
          <w:highlight w:val="none"/>
        </w:rPr>
        <w:t>在响应文件首次报价的，分项报价同比例调整。最低报价不能作为成交的保证。</w:t>
      </w:r>
    </w:p>
    <w:p w14:paraId="161DEBCB">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15、报价货币</w:t>
      </w:r>
    </w:p>
    <w:p w14:paraId="336BD733">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val="en-US" w:eastAsia="zh-CN"/>
        </w:rPr>
        <w:t>15</w:t>
      </w:r>
      <w:r>
        <w:rPr>
          <w:rFonts w:hint="eastAsia" w:ascii="宋体" w:hAnsi="宋体" w:eastAsia="宋体" w:cs="宋体"/>
          <w:b w:val="0"/>
          <w:bCs w:val="0"/>
          <w:color w:val="000000"/>
          <w:sz w:val="24"/>
          <w:highlight w:val="none"/>
          <w:lang w:eastAsia="zh-CN"/>
        </w:rPr>
        <w:t>.1 磋商应以人民币报价。</w:t>
      </w:r>
    </w:p>
    <w:p w14:paraId="1FA87A19">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16、磋商报价的编制要求</w:t>
      </w:r>
    </w:p>
    <w:p w14:paraId="17DD77D2">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val="en-US" w:eastAsia="zh-CN"/>
        </w:rPr>
        <w:t>16</w:t>
      </w:r>
      <w:r>
        <w:rPr>
          <w:rFonts w:hint="eastAsia" w:ascii="宋体" w:hAnsi="宋体" w:eastAsia="宋体" w:cs="宋体"/>
          <w:b w:val="0"/>
          <w:bCs w:val="0"/>
          <w:color w:val="000000"/>
          <w:sz w:val="24"/>
          <w:highlight w:val="none"/>
          <w:lang w:eastAsia="zh-CN"/>
        </w:rPr>
        <w:t>.1 磋商供应商必须按工程量清单，用综合单价法编制磋商</w:t>
      </w:r>
      <w:r>
        <w:rPr>
          <w:rFonts w:hint="eastAsia" w:ascii="宋体" w:hAnsi="宋体" w:eastAsia="宋体" w:cs="宋体"/>
          <w:b w:val="0"/>
          <w:bCs w:val="0"/>
          <w:color w:val="000000"/>
          <w:sz w:val="24"/>
          <w:highlight w:val="none"/>
          <w:lang w:val="en-US" w:eastAsia="zh-CN"/>
        </w:rPr>
        <w:t>报价</w:t>
      </w:r>
      <w:r>
        <w:rPr>
          <w:rFonts w:hint="eastAsia" w:ascii="宋体" w:hAnsi="宋体" w:eastAsia="宋体" w:cs="宋体"/>
          <w:b w:val="0"/>
          <w:bCs w:val="0"/>
          <w:color w:val="000000"/>
          <w:sz w:val="24"/>
          <w:highlight w:val="none"/>
          <w:lang w:eastAsia="zh-CN"/>
        </w:rPr>
        <w:t>。工程量清单数量、暂定价、暂估价、独立费不得变更、不得优惠，否则视为重大偏差。</w:t>
      </w:r>
    </w:p>
    <w:p w14:paraId="2A7FDC5E">
      <w:pPr>
        <w:tabs>
          <w:tab w:val="left" w:pos="900"/>
        </w:tabs>
        <w:spacing w:line="360" w:lineRule="auto"/>
        <w:ind w:firstLine="787"/>
        <w:rPr>
          <w:rFonts w:hint="eastAsia" w:ascii="宋体" w:hAnsi="宋体" w:eastAsia="宋体" w:cs="宋体"/>
          <w:color w:val="000000"/>
          <w:sz w:val="24"/>
          <w:highlight w:val="none"/>
        </w:rPr>
      </w:pPr>
      <w:r>
        <w:rPr>
          <w:rFonts w:hint="eastAsia" w:ascii="宋体" w:hAnsi="宋体" w:eastAsia="宋体" w:cs="宋体"/>
          <w:sz w:val="24"/>
          <w:highlight w:val="none"/>
          <w:lang w:val="en-US" w:eastAsia="zh-CN"/>
        </w:rPr>
        <w:t>16.2</w:t>
      </w:r>
      <w:r>
        <w:rPr>
          <w:rFonts w:hint="eastAsia" w:ascii="宋体" w:hAnsi="宋体" w:eastAsia="宋体" w:cs="宋体"/>
          <w:color w:val="000000"/>
          <w:sz w:val="24"/>
          <w:highlight w:val="none"/>
        </w:rPr>
        <w:t>供应商可自行对施工现场和周围环境进行勘察，以充分了解工地位置、环境、道路、储存空间、装卸限制及任何其他足以影响报价之情况，任何因忽视或误解工地情况而导致的成本增加或工期延长等情况一律不予认可。</w:t>
      </w:r>
    </w:p>
    <w:p w14:paraId="52780A15">
      <w:pPr>
        <w:widowControl w:val="0"/>
        <w:spacing w:line="360" w:lineRule="auto"/>
        <w:ind w:firstLine="787"/>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16.3暂定价材料具体内容详见工程量清单编制说明。</w:t>
      </w:r>
    </w:p>
    <w:p w14:paraId="544DFDEF">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val="en-US" w:eastAsia="zh-CN"/>
        </w:rPr>
        <w:t>16</w:t>
      </w:r>
      <w:r>
        <w:rPr>
          <w:rFonts w:hint="eastAsia" w:ascii="宋体" w:hAnsi="宋体" w:eastAsia="宋体" w:cs="宋体"/>
          <w:b w:val="0"/>
          <w:bCs w:val="0"/>
          <w:color w:val="000000"/>
          <w:sz w:val="24"/>
          <w:highlight w:val="none"/>
          <w:lang w:eastAsia="zh-CN"/>
        </w:rPr>
        <w:t>.</w:t>
      </w:r>
      <w:r>
        <w:rPr>
          <w:rFonts w:hint="eastAsia" w:ascii="宋体" w:hAnsi="宋体" w:eastAsia="宋体" w:cs="宋体"/>
          <w:b w:val="0"/>
          <w:bCs w:val="0"/>
          <w:color w:val="000000"/>
          <w:sz w:val="24"/>
          <w:highlight w:val="none"/>
          <w:lang w:val="en-US" w:eastAsia="zh-CN"/>
        </w:rPr>
        <w:t>4</w:t>
      </w:r>
      <w:r>
        <w:rPr>
          <w:rFonts w:hint="eastAsia" w:ascii="宋体" w:hAnsi="宋体" w:eastAsia="宋体" w:cs="宋体"/>
          <w:b w:val="0"/>
          <w:bCs w:val="0"/>
          <w:color w:val="000000"/>
          <w:sz w:val="24"/>
          <w:highlight w:val="none"/>
          <w:lang w:eastAsia="zh-CN"/>
        </w:rPr>
        <w:t>不可竞争费用应严格执行有关费用标准，不得</w:t>
      </w:r>
      <w:r>
        <w:rPr>
          <w:rFonts w:hint="eastAsia" w:ascii="宋体" w:hAnsi="宋体" w:eastAsia="宋体" w:cs="宋体"/>
          <w:b w:val="0"/>
          <w:bCs w:val="0"/>
          <w:color w:val="000000"/>
          <w:sz w:val="24"/>
          <w:highlight w:val="none"/>
          <w:lang w:val="en-US" w:eastAsia="zh-CN"/>
        </w:rPr>
        <w:t>改变</w:t>
      </w:r>
      <w:r>
        <w:rPr>
          <w:rFonts w:hint="eastAsia" w:ascii="宋体" w:hAnsi="宋体" w:eastAsia="宋体" w:cs="宋体"/>
          <w:b w:val="0"/>
          <w:bCs w:val="0"/>
          <w:color w:val="000000"/>
          <w:sz w:val="24"/>
          <w:highlight w:val="none"/>
          <w:lang w:eastAsia="zh-CN"/>
        </w:rPr>
        <w:t>进行磋商，否则作无效响应处理。</w:t>
      </w:r>
    </w:p>
    <w:p w14:paraId="6B2D1B63">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val="en-US" w:eastAsia="zh-CN"/>
        </w:rPr>
        <w:t>16.5</w:t>
      </w:r>
      <w:r>
        <w:rPr>
          <w:rFonts w:hint="eastAsia" w:ascii="宋体" w:hAnsi="宋体" w:eastAsia="宋体" w:cs="宋体"/>
          <w:b w:val="0"/>
          <w:bCs w:val="0"/>
          <w:color w:val="000000"/>
          <w:sz w:val="24"/>
          <w:highlight w:val="none"/>
          <w:lang w:eastAsia="zh-CN"/>
        </w:rPr>
        <w:t>工程中产生的垃圾均需由成交供应商自行负责清运，费用由成交供应商承担。</w:t>
      </w:r>
    </w:p>
    <w:p w14:paraId="12589B31">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val="en-US" w:eastAsia="zh-CN"/>
        </w:rPr>
        <w:t>16.6</w:t>
      </w:r>
      <w:r>
        <w:rPr>
          <w:rFonts w:hint="eastAsia" w:ascii="宋体" w:hAnsi="宋体" w:eastAsia="宋体" w:cs="宋体"/>
          <w:b w:val="0"/>
          <w:bCs w:val="0"/>
          <w:color w:val="000000"/>
          <w:sz w:val="24"/>
          <w:highlight w:val="none"/>
          <w:lang w:eastAsia="zh-CN"/>
        </w:rPr>
        <w:t>采购人向供应商提供的有关施工现场的资料和数据是采购人现有的能使供应商利用的资料。采购人对供应商由此做出的推论、理解和结论概不负责。</w:t>
      </w:r>
    </w:p>
    <w:p w14:paraId="78EAD906">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val="en-US" w:eastAsia="zh-CN"/>
        </w:rPr>
        <w:t>16.7</w:t>
      </w:r>
      <w:r>
        <w:rPr>
          <w:rFonts w:hint="eastAsia" w:ascii="宋体" w:hAnsi="宋体" w:eastAsia="宋体" w:cs="宋体"/>
          <w:b w:val="0"/>
          <w:bCs w:val="0"/>
          <w:color w:val="000000"/>
          <w:sz w:val="24"/>
          <w:highlight w:val="none"/>
          <w:lang w:eastAsia="zh-CN"/>
        </w:rPr>
        <w:t>因有工程变更造成的工程量清单增减，按</w:t>
      </w:r>
      <w:r>
        <w:rPr>
          <w:rFonts w:hint="eastAsia" w:ascii="宋体" w:hAnsi="宋体" w:eastAsia="宋体" w:cs="宋体"/>
          <w:b w:val="0"/>
          <w:bCs w:val="0"/>
          <w:color w:val="000000"/>
          <w:sz w:val="24"/>
          <w:highlight w:val="none"/>
          <w:lang w:val="en-US" w:eastAsia="zh-CN"/>
        </w:rPr>
        <w:t>采购人</w:t>
      </w:r>
      <w:r>
        <w:rPr>
          <w:rFonts w:hint="eastAsia" w:ascii="宋体" w:hAnsi="宋体" w:eastAsia="宋体" w:cs="宋体"/>
          <w:b w:val="0"/>
          <w:bCs w:val="0"/>
          <w:color w:val="000000"/>
          <w:sz w:val="24"/>
          <w:highlight w:val="none"/>
          <w:lang w:eastAsia="zh-CN"/>
        </w:rPr>
        <w:t>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sz w:val="24"/>
          <w:highlight w:val="none"/>
          <w:lang w:val="en-US" w:eastAsia="zh-CN"/>
        </w:rPr>
        <w:t>供应商</w:t>
      </w:r>
      <w:r>
        <w:rPr>
          <w:rFonts w:hint="eastAsia" w:ascii="宋体" w:hAnsi="宋体" w:eastAsia="宋体" w:cs="宋体"/>
          <w:b w:val="0"/>
          <w:bCs w:val="0"/>
          <w:color w:val="000000"/>
          <w:sz w:val="24"/>
          <w:highlight w:val="none"/>
          <w:lang w:eastAsia="zh-CN"/>
        </w:rPr>
        <w:t>报价并经监理及</w:t>
      </w:r>
      <w:r>
        <w:rPr>
          <w:rFonts w:hint="eastAsia" w:ascii="宋体" w:hAnsi="宋体" w:eastAsia="宋体" w:cs="宋体"/>
          <w:b w:val="0"/>
          <w:bCs w:val="0"/>
          <w:color w:val="000000"/>
          <w:sz w:val="24"/>
          <w:highlight w:val="none"/>
          <w:lang w:val="en-US" w:eastAsia="zh-CN"/>
        </w:rPr>
        <w:t>采购人</w:t>
      </w:r>
      <w:r>
        <w:rPr>
          <w:rFonts w:hint="eastAsia" w:ascii="宋体" w:hAnsi="宋体" w:eastAsia="宋体" w:cs="宋体"/>
          <w:b w:val="0"/>
          <w:bCs w:val="0"/>
          <w:color w:val="000000"/>
          <w:sz w:val="24"/>
          <w:highlight w:val="none"/>
          <w:lang w:eastAsia="zh-CN"/>
        </w:rPr>
        <w:t>审核确定。</w:t>
      </w:r>
    </w:p>
    <w:p w14:paraId="5CC49AD4">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val="en-US" w:eastAsia="zh-CN"/>
        </w:rPr>
        <w:t>16.8</w:t>
      </w:r>
      <w:r>
        <w:rPr>
          <w:rFonts w:hint="eastAsia" w:ascii="宋体" w:hAnsi="宋体" w:eastAsia="宋体" w:cs="宋体"/>
          <w:b w:val="0"/>
          <w:bCs w:val="0"/>
          <w:color w:val="000000"/>
          <w:sz w:val="24"/>
          <w:highlight w:val="none"/>
          <w:lang w:eastAsia="zh-CN"/>
        </w:rPr>
        <w:t>供应商应当在响应文件中详细、定量地列出优惠让利的理由及所采取的技术措施。</w:t>
      </w:r>
    </w:p>
    <w:p w14:paraId="4687C060">
      <w:pPr>
        <w:shd w:val="clear" w:color="auto" w:fill="auto"/>
        <w:tabs>
          <w:tab w:val="left" w:pos="900"/>
        </w:tabs>
        <w:spacing w:line="360" w:lineRule="auto"/>
        <w:ind w:firstLine="802"/>
        <w:jc w:val="center"/>
        <w:outlineLvl w:val="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五、响应文件的提交</w:t>
      </w:r>
    </w:p>
    <w:p w14:paraId="6BEBCD6C">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17、电子磋商响应文件的递交</w:t>
      </w:r>
    </w:p>
    <w:p w14:paraId="0032C080">
      <w:pPr>
        <w:keepNext w:val="0"/>
        <w:keepLines w:val="0"/>
        <w:pageBreakBefore w:val="0"/>
        <w:widowControl w:val="0"/>
        <w:spacing w:beforeAutospacing="0" w:afterAutospacing="0" w:line="360" w:lineRule="auto"/>
        <w:ind w:left="0" w:right="0" w:firstLine="802"/>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17</w:t>
      </w:r>
      <w:r>
        <w:rPr>
          <w:rFonts w:hint="eastAsia" w:ascii="宋体" w:hAnsi="宋体" w:eastAsia="宋体" w:cs="宋体"/>
          <w:color w:val="000000"/>
          <w:sz w:val="24"/>
          <w:highlight w:val="none"/>
        </w:rPr>
        <w:t xml:space="preserve">.1 </w:t>
      </w:r>
      <w:r>
        <w:rPr>
          <w:rFonts w:hint="eastAsia" w:ascii="宋体" w:hAnsi="宋体" w:eastAsia="宋体" w:cs="宋体"/>
          <w:color w:val="000000"/>
          <w:sz w:val="24"/>
          <w:szCs w:val="24"/>
          <w:highlight w:val="none"/>
        </w:rPr>
        <w:t>供应商应当按照《操作手册》规定，在提交响应文件截止时间前制作并上传电子响应文件。</w:t>
      </w:r>
    </w:p>
    <w:p w14:paraId="631B5102">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18、提交响应文件截止时间</w:t>
      </w:r>
    </w:p>
    <w:p w14:paraId="70186DE9">
      <w:pPr>
        <w:keepNext w:val="0"/>
        <w:keepLines w:val="0"/>
        <w:pageBreakBefore w:val="0"/>
        <w:widowControl w:val="0"/>
        <w:spacing w:beforeAutospacing="0" w:afterAutospacing="0" w:line="360" w:lineRule="auto"/>
        <w:ind w:left="0" w:right="0" w:firstLine="802"/>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18</w:t>
      </w:r>
      <w:r>
        <w:rPr>
          <w:rFonts w:hint="eastAsia" w:ascii="宋体" w:hAnsi="宋体" w:eastAsia="宋体" w:cs="宋体"/>
          <w:color w:val="000000"/>
          <w:sz w:val="24"/>
          <w:highlight w:val="none"/>
        </w:rPr>
        <w:t>.1</w:t>
      </w:r>
      <w:r>
        <w:rPr>
          <w:rFonts w:hint="eastAsia" w:ascii="宋体" w:hAnsi="宋体" w:eastAsia="宋体" w:cs="宋体"/>
          <w:i w:val="0"/>
          <w:iCs w:val="0"/>
          <w:color w:val="000000"/>
          <w:sz w:val="24"/>
          <w:highlight w:val="none"/>
          <w:u w:val="single"/>
        </w:rPr>
        <w:t>供应商上传电子响应文件的时间不得迟于磋商公告中规定的提交响应文件截止时间。</w:t>
      </w:r>
    </w:p>
    <w:p w14:paraId="0A867263">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供应商应充分考虑到网络环境、网络宽带等风险因素，如因供应商自身原因造成的电子响应文件上传不成功的按照本磋商文件第二章第25.5.2条规定做无效响应处理。</w:t>
      </w:r>
    </w:p>
    <w:p w14:paraId="3A8FB285">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18.2代理机构可以按照规定，通过修改磋商文件酌情延长提交响应文件截止日期，在此情况下，供应商的所有权利和义务以及供应商受制的截止日期均应以延长后新的截止日期为准。</w:t>
      </w:r>
    </w:p>
    <w:p w14:paraId="00E3A225">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19、响应文件的拒收</w:t>
      </w:r>
    </w:p>
    <w:p w14:paraId="726EDAA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19.1代理机构拒绝接收在其规定的提交响应文件截止时间后上传的任何电子响应文件。</w:t>
      </w:r>
    </w:p>
    <w:p w14:paraId="307BD6FB">
      <w:pPr>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both"/>
        <w:outlineLvl w:val="1"/>
        <w:rPr>
          <w:rFonts w:hint="eastAsia" w:ascii="宋体" w:hAnsi="宋体" w:eastAsia="宋体" w:cs="宋体"/>
          <w:b/>
          <w:bCs/>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20、响应文件的撤回和修改</w:t>
      </w:r>
    </w:p>
    <w:p w14:paraId="6ED1057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20.1响应文件的撤回</w:t>
      </w:r>
    </w:p>
    <w:p w14:paraId="3B17D44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20.1.1 电子响应文件的撤回</w:t>
      </w:r>
    </w:p>
    <w:p w14:paraId="45BBAAD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供应商可在提交响应文件截止时间前，撤回其电子响应文件，具体操作方法见《操作手册》。</w:t>
      </w:r>
    </w:p>
    <w:p w14:paraId="28FAFA4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20.1.2供应商撤回电子响应文件，则认为其不再参与本项目磋商活动。</w:t>
      </w:r>
    </w:p>
    <w:p w14:paraId="5BE99E8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802"/>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20.2响应文件的修改</w:t>
      </w:r>
    </w:p>
    <w:p w14:paraId="1C4A292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供应商可在提交响应文件截止时间前，对其电子响应文件进行修改，具体操作方法见《操作手册》。</w:t>
      </w:r>
    </w:p>
    <w:p w14:paraId="293A3015">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20.3 在提交响应文件截止时间之后，供应商不得对其电子响应文件作任何修改。</w:t>
      </w:r>
    </w:p>
    <w:p w14:paraId="08F4B7F5">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20.4 在提交响应文件截止时间至磋商文件中规定的磋商有效期满之间的这段时间内，供应商不得撤回其响应文件。</w:t>
      </w:r>
    </w:p>
    <w:p w14:paraId="3E36F43D">
      <w:pPr>
        <w:shd w:val="clear" w:color="auto" w:fill="auto"/>
        <w:tabs>
          <w:tab w:val="left" w:pos="900"/>
        </w:tabs>
        <w:spacing w:line="360" w:lineRule="auto"/>
        <w:ind w:firstLine="802"/>
        <w:jc w:val="center"/>
        <w:outlineLvl w:val="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六、响应文件的解密与评审</w:t>
      </w:r>
    </w:p>
    <w:p w14:paraId="7B14E42A">
      <w:pPr>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both"/>
        <w:outlineLvl w:val="1"/>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21、响应文件解密</w:t>
      </w:r>
    </w:p>
    <w:p w14:paraId="77388801">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21.1供应商应当按照《操作手册》规定，在苏采云系统规定的时间内对磋商响应文件进行解密。</w:t>
      </w:r>
    </w:p>
    <w:p w14:paraId="09D42CCB">
      <w:pPr>
        <w:keepNext w:val="0"/>
        <w:keepLines w:val="0"/>
        <w:pageBreakBefore w:val="0"/>
        <w:widowControl w:val="0"/>
        <w:spacing w:beforeAutospacing="0" w:afterAutospacing="0" w:line="360" w:lineRule="auto"/>
        <w:ind w:right="0" w:firstLine="482"/>
        <w:jc w:val="left"/>
        <w:outlineLvl w:val="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21.2</w:t>
      </w:r>
      <w:r>
        <w:rPr>
          <w:rFonts w:hint="eastAsia" w:ascii="宋体" w:hAnsi="宋体" w:eastAsia="宋体" w:cs="宋体"/>
          <w:b/>
          <w:bCs/>
          <w:color w:val="000000"/>
          <w:sz w:val="24"/>
          <w:highlight w:val="non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sz w:val="24"/>
          <w:highlight w:val="none"/>
          <w:lang w:val="en-US" w:eastAsia="zh-CN"/>
        </w:rPr>
        <w:t>电子交易</w:t>
      </w:r>
      <w:r>
        <w:rPr>
          <w:rFonts w:hint="eastAsia" w:ascii="宋体" w:hAnsi="宋体" w:eastAsia="宋体" w:cs="宋体"/>
          <w:b/>
          <w:bCs/>
          <w:color w:val="000000"/>
          <w:sz w:val="24"/>
          <w:highlight w:val="none"/>
        </w:rPr>
        <w:t>平台发生故障，导致无法按时完成响应文件解密或开、评标工作无法进行的，可根据实际情况相应延迟解密时间或调整开、评标时间。</w:t>
      </w:r>
    </w:p>
    <w:p w14:paraId="48EE8021">
      <w:pPr>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22、磋商小组</w:t>
      </w:r>
    </w:p>
    <w:p w14:paraId="14B6970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22.1代理机构将组织磋商小组对响应文件进行评审。磋商小组由采购人代表和有关技术、经济等方面的专家组成，且人员构成符合政府采购有关规定。</w:t>
      </w:r>
    </w:p>
    <w:p w14:paraId="063BC15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22.2磋商小组由采购人代表和评审专家共3人或以上单数组成，其中评审专家人数不得少于磋商小组成员总数的2/3。采购人代表不得以评审专家身份参加本部门或本单位采购项目的评审。采购代理机构人员不得参加本机构代理的采购项目的评审。</w:t>
      </w:r>
    </w:p>
    <w:p w14:paraId="1BDA643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22.2.1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291FC95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22.3磋商小组独立工作，负责评审所有响应文件并确定成交候选人。</w:t>
      </w:r>
    </w:p>
    <w:p w14:paraId="43A06084">
      <w:pPr>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23、评审过程的保密与公正</w:t>
      </w:r>
    </w:p>
    <w:p w14:paraId="2879CEEE">
      <w:pPr>
        <w:keepNext w:val="0"/>
        <w:keepLines w:val="0"/>
        <w:pageBreakBefore w:val="0"/>
        <w:widowControl w:val="0"/>
        <w:numPr>
          <w:ilvl w:val="0"/>
          <w:numId w:val="0"/>
        </w:numPr>
        <w:spacing w:beforeAutospacing="0" w:afterAutospacing="0" w:line="360" w:lineRule="auto"/>
        <w:ind w:right="0"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23</w:t>
      </w: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磋商小组、采购人或采购代理机构、相关监督人员等与评审工作有关的人员，对评审情况以及在评审过程中获悉的国家秘密、商业秘密负有保密责任。</w:t>
      </w:r>
    </w:p>
    <w:p w14:paraId="3B502A9A">
      <w:pPr>
        <w:keepNext w:val="0"/>
        <w:keepLines w:val="0"/>
        <w:pageBreakBefore w:val="0"/>
        <w:widowControl w:val="0"/>
        <w:spacing w:beforeAutospacing="0" w:afterAutospacing="0" w:line="360" w:lineRule="auto"/>
        <w:ind w:right="0"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23.2 </w:t>
      </w:r>
      <w:r>
        <w:rPr>
          <w:rFonts w:hint="eastAsia" w:ascii="宋体" w:hAnsi="宋体" w:eastAsia="宋体" w:cs="宋体"/>
          <w:color w:val="000000"/>
          <w:sz w:val="24"/>
          <w:highlight w:val="none"/>
        </w:rPr>
        <w:t>在磋商评审过程中，供应商不得以任何行为影响磋商评审过程，否则其响应文件将被作为无效响应文件。</w:t>
      </w:r>
    </w:p>
    <w:p w14:paraId="7C791D59">
      <w:pPr>
        <w:keepNext w:val="0"/>
        <w:keepLines w:val="0"/>
        <w:pageBreakBefore w:val="0"/>
        <w:widowControl w:val="0"/>
        <w:spacing w:beforeAutospacing="0" w:afterAutospacing="0" w:line="360" w:lineRule="auto"/>
        <w:ind w:left="0" w:right="0" w:firstLine="802"/>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rPr>
        <w:t>3.3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2D235980">
      <w:pPr>
        <w:keepNext w:val="0"/>
        <w:keepLines w:val="0"/>
        <w:pageBreakBefore w:val="0"/>
        <w:widowControl w:val="0"/>
        <w:spacing w:beforeAutospacing="0" w:afterAutospacing="0" w:line="360" w:lineRule="auto"/>
        <w:ind w:left="0" w:right="0" w:firstLine="802"/>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rPr>
        <w:t>3.4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评审开始后，直至向成交供应商授予合同时止，凡是与审查、澄清、评价和比较响应的有关资料以及授标建议等，采购人、磋商小组、采购代理机构均不得向供应商或与评标无关的其他人员透露。</w:t>
      </w:r>
    </w:p>
    <w:p w14:paraId="28A93DC7">
      <w:pPr>
        <w:keepNext w:val="0"/>
        <w:keepLines w:val="0"/>
        <w:pageBreakBefore w:val="0"/>
        <w:widowControl w:val="0"/>
        <w:spacing w:beforeAutospacing="0" w:afterAutospacing="0" w:line="360" w:lineRule="auto"/>
        <w:ind w:left="0" w:right="0" w:firstLine="802"/>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rPr>
        <w:t>3.5</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在评审期间，采购人或采购代理机构将设专门人员与供应商联系。</w:t>
      </w:r>
    </w:p>
    <w:p w14:paraId="305510F7">
      <w:pPr>
        <w:keepNext w:val="0"/>
        <w:keepLines w:val="0"/>
        <w:pageBreakBefore w:val="0"/>
        <w:widowControl w:val="0"/>
        <w:spacing w:beforeAutospacing="0" w:afterAutospacing="0" w:line="360" w:lineRule="auto"/>
        <w:ind w:left="0" w:right="0" w:firstLine="802"/>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rPr>
        <w:t>3.6</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采购人或采购代理机构和评审小组不向未成交的供应商解释未成交原因，也不公布评审过程中的相关细节。</w:t>
      </w:r>
    </w:p>
    <w:p w14:paraId="69F165FA">
      <w:pPr>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24、评审过程中的澄清</w:t>
      </w:r>
    </w:p>
    <w:p w14:paraId="5C6E2B0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193E014">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磋商小组并非对每个供应商都作澄清要求。</w:t>
      </w:r>
    </w:p>
    <w:p w14:paraId="09F065D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133D34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24.3 接到磋商小组澄清、说明和更正要求的供应商如未按规定做出澄清、说明和更正，其风险由供应商自行承担。</w:t>
      </w:r>
    </w:p>
    <w:p w14:paraId="69B98BB7">
      <w:pPr>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25、对响应文件的审查</w:t>
      </w:r>
    </w:p>
    <w:p w14:paraId="03102D78">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25.1响应文件审查分为资格审查和符合性审查。</w:t>
      </w:r>
    </w:p>
    <w:p w14:paraId="3F045A1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25.1.1资格审查：由磋商小组依据法律法规和磋商文件的规定，对响应文件中的资格证明文件进行审查，以确定供应商是否具备参加磋商的资格。</w:t>
      </w:r>
    </w:p>
    <w:p w14:paraId="58042BF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磋商小组在进行资格审查的同时，将在“信用中国”网站（www.creditchina.gov.cn）查询供应商的信用记录，以确定供应商是否具备磋商资格，查询结果留存并归档。</w:t>
      </w:r>
    </w:p>
    <w:p w14:paraId="636A009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接受联合体的项目，两个以上的自然人、法人或者其他组织组成一个联合体，以一个供应商的身份共同参加政府采购活动的，联合体成员中任何一方存在不良信用记录的，视同联合体存在不良应用记录。</w:t>
      </w:r>
    </w:p>
    <w:p w14:paraId="585696E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25.1.2 符合性审查：依据磋商文件的规定，由磋商小组从响应文件的有效性、完整性和对磋商文件的响应程度进行审查，以确定是否对磋商文件的实质性要求作出响应。</w:t>
      </w:r>
    </w:p>
    <w:p w14:paraId="4D2347A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25.1.3 未通过资格审查或符合性审查的供应商，磋商小组将在苏采云系统中告知未通过资格审查或符合性审查的原因，评审结束后，磋商小组将不再告知未通过资格审查或符合性审查的原因。</w:t>
      </w:r>
    </w:p>
    <w:p w14:paraId="2D1E280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25.2在详细评审之前，磋商小组将首先审查每份响应文件是否实质性响应了磋商文件的要求。实质性响应的响应文件应该是与磋商文件要求的条款、条件和规格相符，没有重大偏离或保留。</w:t>
      </w:r>
    </w:p>
    <w:p w14:paraId="07D66A4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131C26E">
      <w:pPr>
        <w:keepNext w:val="0"/>
        <w:keepLines w:val="0"/>
        <w:pageBreakBefore w:val="0"/>
        <w:widowControl w:val="0"/>
        <w:spacing w:beforeAutospacing="0" w:afterAutospacing="0" w:line="360" w:lineRule="auto"/>
        <w:ind w:right="0"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25.3</w:t>
      </w:r>
      <w:r>
        <w:rPr>
          <w:rFonts w:hint="eastAsia" w:ascii="宋体" w:hAnsi="宋体" w:eastAsia="宋体" w:cs="宋体"/>
          <w:color w:val="000000"/>
          <w:sz w:val="24"/>
          <w:highlight w:val="none"/>
        </w:rPr>
        <w:t xml:space="preserve"> 磋商小组将对实质性响应的文件进行进一步审核，看其是否有计算上或累加上的算术错误，修正错误的原则如下：</w:t>
      </w:r>
    </w:p>
    <w:p w14:paraId="26C433E8">
      <w:pPr>
        <w:keepNext w:val="0"/>
        <w:keepLines w:val="0"/>
        <w:pageBreakBefore w:val="0"/>
        <w:widowControl w:val="0"/>
        <w:spacing w:beforeAutospacing="0" w:afterAutospacing="0" w:line="360" w:lineRule="auto"/>
        <w:ind w:right="0"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（1）响应文件中报价总表内容与响应文件中相应内容不一致的，以报价总表为准。</w:t>
      </w:r>
    </w:p>
    <w:p w14:paraId="06732A49">
      <w:pPr>
        <w:keepNext w:val="0"/>
        <w:keepLines w:val="0"/>
        <w:pageBreakBefore w:val="0"/>
        <w:widowControl w:val="0"/>
        <w:spacing w:beforeAutospacing="0" w:afterAutospacing="0" w:line="360" w:lineRule="auto"/>
        <w:ind w:right="0"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（2）大写金额和小写金额不一致的，以大写金额为准。</w:t>
      </w:r>
    </w:p>
    <w:p w14:paraId="0FECC7F0">
      <w:pPr>
        <w:keepNext w:val="0"/>
        <w:keepLines w:val="0"/>
        <w:pageBreakBefore w:val="0"/>
        <w:widowControl w:val="0"/>
        <w:spacing w:beforeAutospacing="0" w:afterAutospacing="0" w:line="360" w:lineRule="auto"/>
        <w:ind w:right="0"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（3）单价金额小数点或者百分比有明显错位的，以报价总表的总价为准，并修改单价。</w:t>
      </w:r>
    </w:p>
    <w:p w14:paraId="24091A42">
      <w:pPr>
        <w:keepNext w:val="0"/>
        <w:keepLines w:val="0"/>
        <w:pageBreakBefore w:val="0"/>
        <w:widowControl w:val="0"/>
        <w:spacing w:beforeAutospacing="0" w:afterAutospacing="0" w:line="360" w:lineRule="auto"/>
        <w:ind w:right="0"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（4）总价金额与按单价汇总金额不一致的，以单价金额计算结果为准。</w:t>
      </w:r>
    </w:p>
    <w:p w14:paraId="16ED3CFF">
      <w:pPr>
        <w:keepNext w:val="0"/>
        <w:keepLines w:val="0"/>
        <w:pageBreakBefore w:val="0"/>
        <w:widowControl w:val="0"/>
        <w:spacing w:beforeAutospacing="0" w:afterAutospacing="0" w:line="360" w:lineRule="auto"/>
        <w:ind w:left="0" w:right="0" w:firstLine="802"/>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同时出现两种以上错误的，按照前款规定的顺序修正。</w:t>
      </w:r>
    </w:p>
    <w:p w14:paraId="57D3A4C1">
      <w:pPr>
        <w:keepNext w:val="0"/>
        <w:keepLines w:val="0"/>
        <w:pageBreakBefore w:val="0"/>
        <w:widowControl w:val="0"/>
        <w:spacing w:beforeAutospacing="0" w:afterAutospacing="0" w:line="360" w:lineRule="auto"/>
        <w:ind w:right="0"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25.3.1</w:t>
      </w:r>
      <w:r>
        <w:rPr>
          <w:rFonts w:hint="eastAsia" w:ascii="宋体" w:hAnsi="宋体" w:eastAsia="宋体" w:cs="宋体"/>
          <w:color w:val="000000"/>
          <w:sz w:val="24"/>
          <w:highlight w:val="none"/>
        </w:rPr>
        <w:t>磋商小组将按上述修正错误的方法调整响应文件中的报价，现场告知供应商，调整后的价格应对供应商具有约束力。如果供应商不接受修正后的价格，则其磋商活动将被拒绝。</w:t>
      </w:r>
    </w:p>
    <w:p w14:paraId="336FCC01">
      <w:pPr>
        <w:spacing w:line="360" w:lineRule="auto"/>
        <w:ind w:left="0" w:firstLine="0"/>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25.4政府采购异常低价审查：</w:t>
      </w:r>
    </w:p>
    <w:p w14:paraId="66B313ED">
      <w:pPr>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25.4.1本项目执行财库[2026]2号文，采购评审中出现下列情形之一的，评审委员会应当启动异常低价投标（响应）审查程序： </w:t>
      </w:r>
    </w:p>
    <w:p w14:paraId="65AAAE84">
      <w:pPr>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1.投标（响应）报价低于全部通过符合性审查供应商投标（响应）报价平均值50%的，即投标（响应）报价&lt;全部通过符合性审查供应商投标（响应）报价平均值×50%； </w:t>
      </w:r>
    </w:p>
    <w:p w14:paraId="7D344A26">
      <w:pPr>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2.投标（响应）报价低于通过符合性审查的次低报价供应商投标（响应）报价50%的，即投标（响应）报价&lt;通过符合性审查的次低报价供应商投标（响应）报价×50%； </w:t>
      </w:r>
    </w:p>
    <w:p w14:paraId="5ED3838E">
      <w:pPr>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3.投标（响应）报价低于采购项目最高限价45%的，即投标（响应）报价&lt;采购项目最高限价×45%； </w:t>
      </w:r>
    </w:p>
    <w:p w14:paraId="6CDDB6AE">
      <w:pPr>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4.评审委员会基于专业判断，认为供应商报价过低，有可能影响产品质量或者不能诚信履约的其他情形。 </w:t>
      </w:r>
    </w:p>
    <w:p w14:paraId="34C53345">
      <w:pPr>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相关法律法规对供应商报价有规定的，从其规定。</w:t>
      </w:r>
    </w:p>
    <w:p w14:paraId="7F593924">
      <w:pPr>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8DF38A2">
      <w:pPr>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5B3C026">
      <w:pPr>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44F4656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25.5未实质性响应磋商文件的情形</w:t>
      </w:r>
    </w:p>
    <w:p w14:paraId="45CE9BD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25.5.1供应商在苏采云系统规定的时间内未成功解密电子响应文件的。</w:t>
      </w:r>
    </w:p>
    <w:p w14:paraId="17CEEF44">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25.5.2供应商未按照磋商文件要求上传电子响应文件的。</w:t>
      </w:r>
    </w:p>
    <w:p w14:paraId="040D1FD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25.5.3同一供应商提交两个（含两个）以上不同的响应文件或者最后报价的。</w:t>
      </w:r>
    </w:p>
    <w:p w14:paraId="540AFCF3">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25.5.4供应商未按照要求对磋商或者最后报价作出响应的。</w:t>
      </w:r>
    </w:p>
    <w:p w14:paraId="21432187">
      <w:pPr>
        <w:spacing w:line="360" w:lineRule="auto"/>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25.5.5</w:t>
      </w:r>
      <w:r>
        <w:rPr>
          <w:rFonts w:hint="eastAsia" w:ascii="宋体" w:hAnsi="宋体" w:eastAsia="宋体" w:cs="宋体"/>
          <w:b/>
          <w:bCs w:val="0"/>
          <w:color w:val="000000"/>
          <w:sz w:val="24"/>
          <w:szCs w:val="21"/>
          <w:highlight w:val="none"/>
          <w:lang w:val="en-US" w:eastAsia="zh-CN"/>
        </w:rPr>
        <w:t>本项目遵照执行</w:t>
      </w:r>
      <w:r>
        <w:rPr>
          <w:rFonts w:hint="eastAsia" w:ascii="宋体" w:hAnsi="宋体" w:eastAsia="宋体" w:cs="宋体"/>
          <w:b/>
          <w:bCs w:val="0"/>
          <w:color w:val="000000"/>
          <w:sz w:val="24"/>
          <w:szCs w:val="21"/>
          <w:highlight w:val="none"/>
          <w:lang w:eastAsia="zh-CN"/>
        </w:rPr>
        <w:t>《</w:t>
      </w:r>
      <w:r>
        <w:rPr>
          <w:rFonts w:hint="eastAsia" w:ascii="宋体" w:hAnsi="宋体" w:eastAsia="宋体" w:cs="宋体"/>
          <w:b/>
          <w:bCs w:val="0"/>
          <w:color w:val="000000"/>
          <w:sz w:val="24"/>
          <w:szCs w:val="21"/>
          <w:highlight w:val="none"/>
        </w:rPr>
        <w:t>关于推动解决政府采购异常低价问题的通知</w:t>
      </w:r>
      <w:r>
        <w:rPr>
          <w:rFonts w:hint="eastAsia" w:ascii="宋体" w:hAnsi="宋体" w:eastAsia="宋体" w:cs="宋体"/>
          <w:b/>
          <w:bCs w:val="0"/>
          <w:color w:val="000000"/>
          <w:sz w:val="24"/>
          <w:szCs w:val="21"/>
          <w:highlight w:val="none"/>
          <w:lang w:eastAsia="zh-CN"/>
        </w:rPr>
        <w:t>》（连财购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〔2026〕</w:t>
      </w:r>
      <w:r>
        <w:rPr>
          <w:rFonts w:hint="eastAsia" w:ascii="宋体" w:hAnsi="宋体" w:eastAsia="宋体" w:cs="宋体"/>
          <w:b/>
          <w:bCs w:val="0"/>
          <w:color w:val="000000"/>
          <w:sz w:val="24"/>
          <w:szCs w:val="21"/>
          <w:highlight w:val="none"/>
          <w:lang w:val="en-US" w:eastAsia="zh-CN"/>
        </w:rPr>
        <w:t>7</w:t>
      </w:r>
      <w:r>
        <w:rPr>
          <w:rFonts w:hint="eastAsia" w:ascii="宋体" w:hAnsi="宋体" w:eastAsia="宋体" w:cs="宋体"/>
          <w:b/>
          <w:bCs w:val="0"/>
          <w:color w:val="000000"/>
          <w:sz w:val="24"/>
          <w:szCs w:val="21"/>
          <w:highlight w:val="none"/>
          <w:lang w:eastAsia="zh-CN"/>
        </w:rPr>
        <w:t>号）</w:t>
      </w:r>
      <w:r>
        <w:rPr>
          <w:rFonts w:hint="eastAsia" w:ascii="宋体" w:hAnsi="宋体" w:eastAsia="宋体" w:cs="宋体"/>
          <w:b/>
          <w:bCs w:val="0"/>
          <w:color w:val="000000"/>
          <w:sz w:val="24"/>
          <w:szCs w:val="21"/>
          <w:highlight w:val="none"/>
          <w:lang w:val="en-US" w:eastAsia="zh-CN"/>
        </w:rPr>
        <w:t>文件；</w:t>
      </w:r>
      <w:r>
        <w:rPr>
          <w:rFonts w:hint="eastAsia" w:ascii="宋体" w:hAnsi="宋体" w:eastAsia="宋体" w:cs="宋体"/>
          <w:b/>
          <w:bCs w:val="0"/>
          <w:color w:val="000000"/>
          <w:sz w:val="24"/>
          <w:szCs w:val="21"/>
          <w:highlight w:val="none"/>
        </w:rPr>
        <w:t>评审委员会启动异常低价投标（响应）审查程序</w:t>
      </w:r>
      <w:r>
        <w:rPr>
          <w:rFonts w:hint="eastAsia" w:ascii="宋体" w:hAnsi="宋体" w:eastAsia="宋体" w:cs="宋体"/>
          <w:b/>
          <w:bCs w:val="0"/>
          <w:color w:val="000000"/>
          <w:sz w:val="24"/>
          <w:szCs w:val="21"/>
          <w:highlight w:val="none"/>
          <w:lang w:val="en-US" w:eastAsia="zh-CN"/>
        </w:rPr>
        <w:t>后，投标（响应）供应商在评审现场合理的时间内，不能提供书面说明、证明材料，或者提供的书面说明、证明材料不能证明其报价合理性的，评审委员会应当将其作为无效投标（响应）处理。</w:t>
      </w:r>
    </w:p>
    <w:p w14:paraId="48360D91">
      <w:pPr>
        <w:keepNext w:val="0"/>
        <w:keepLines w:val="0"/>
        <w:pageBreakBefore w:val="0"/>
        <w:widowControl w:val="0"/>
        <w:spacing w:beforeAutospacing="0" w:afterAutospacing="0" w:line="360" w:lineRule="auto"/>
        <w:ind w:right="0" w:firstLine="482"/>
        <w:jc w:val="left"/>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25.5.6</w:t>
      </w:r>
      <w:r>
        <w:rPr>
          <w:rFonts w:hint="eastAsia" w:ascii="宋体" w:hAnsi="宋体" w:eastAsia="宋体" w:cs="宋体"/>
          <w:b/>
          <w:bCs/>
          <w:color w:val="000000"/>
          <w:sz w:val="24"/>
          <w:szCs w:val="24"/>
          <w:highlight w:val="none"/>
        </w:rPr>
        <w:t>供应商不具备磋商文件中规定资格要求的。</w:t>
      </w:r>
    </w:p>
    <w:p w14:paraId="31B9417F">
      <w:pPr>
        <w:keepNext w:val="0"/>
        <w:keepLines w:val="0"/>
        <w:pageBreakBefore w:val="0"/>
        <w:widowControl w:val="0"/>
        <w:spacing w:beforeAutospacing="0" w:afterAutospacing="0" w:line="360" w:lineRule="auto"/>
        <w:ind w:right="0" w:firstLine="482"/>
        <w:jc w:val="left"/>
        <w:outlineLvl w:val="9"/>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25.5.7</w:t>
      </w:r>
      <w:r>
        <w:rPr>
          <w:rFonts w:hint="eastAsia" w:ascii="宋体" w:hAnsi="宋体" w:eastAsia="宋体" w:cs="宋体"/>
          <w:b/>
          <w:bCs/>
          <w:color w:val="000000"/>
          <w:sz w:val="24"/>
          <w:szCs w:val="24"/>
          <w:highlight w:val="none"/>
        </w:rPr>
        <w:t>供应商未通过</w:t>
      </w:r>
      <w:r>
        <w:rPr>
          <w:rFonts w:hint="eastAsia" w:ascii="宋体" w:hAnsi="宋体" w:eastAsia="宋体" w:cs="宋体"/>
          <w:b/>
          <w:bCs/>
          <w:color w:val="000000"/>
          <w:sz w:val="24"/>
          <w:szCs w:val="24"/>
          <w:highlight w:val="none"/>
          <w:lang w:val="en-US" w:eastAsia="zh-CN"/>
        </w:rPr>
        <w:t>资格性、</w:t>
      </w:r>
      <w:r>
        <w:rPr>
          <w:rFonts w:hint="eastAsia" w:ascii="宋体" w:hAnsi="宋体" w:eastAsia="宋体" w:cs="宋体"/>
          <w:b/>
          <w:bCs/>
          <w:color w:val="000000"/>
          <w:sz w:val="24"/>
          <w:szCs w:val="24"/>
          <w:highlight w:val="none"/>
        </w:rPr>
        <w:t>符合性审查的</w:t>
      </w:r>
      <w:r>
        <w:rPr>
          <w:rFonts w:hint="eastAsia" w:ascii="宋体" w:hAnsi="宋体" w:eastAsia="宋体" w:cs="宋体"/>
          <w:b/>
          <w:bCs/>
          <w:color w:val="000000"/>
          <w:sz w:val="24"/>
          <w:szCs w:val="24"/>
          <w:highlight w:val="none"/>
          <w:lang w:eastAsia="zh-CN"/>
        </w:rPr>
        <w:t>。</w:t>
      </w:r>
    </w:p>
    <w:p w14:paraId="238EBA9A">
      <w:pPr>
        <w:keepNext w:val="0"/>
        <w:keepLines w:val="0"/>
        <w:pageBreakBefore w:val="0"/>
        <w:widowControl w:val="0"/>
        <w:spacing w:beforeAutospacing="0" w:afterAutospacing="0" w:line="360" w:lineRule="auto"/>
        <w:ind w:right="0" w:firstLine="482"/>
        <w:jc w:val="left"/>
        <w:outlineLvl w:val="9"/>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25.5.8</w:t>
      </w:r>
      <w:r>
        <w:rPr>
          <w:rFonts w:hint="eastAsia" w:ascii="宋体" w:hAnsi="宋体" w:eastAsia="宋体" w:cs="宋体"/>
          <w:b/>
          <w:bCs/>
          <w:color w:val="000000"/>
          <w:sz w:val="24"/>
          <w:szCs w:val="24"/>
          <w:highlight w:val="none"/>
        </w:rPr>
        <w:t>供应商的最后报价超过了采购预算</w:t>
      </w:r>
      <w:r>
        <w:rPr>
          <w:rFonts w:hint="eastAsia" w:ascii="宋体" w:hAnsi="宋体" w:eastAsia="宋体" w:cs="宋体"/>
          <w:b/>
          <w:bCs/>
          <w:color w:val="000000"/>
          <w:sz w:val="24"/>
          <w:szCs w:val="24"/>
          <w:highlight w:val="none"/>
          <w:lang w:val="en-US" w:eastAsia="zh-CN"/>
        </w:rPr>
        <w:t>或</w:t>
      </w:r>
      <w:r>
        <w:rPr>
          <w:rFonts w:hint="eastAsia" w:ascii="宋体" w:hAnsi="宋体" w:eastAsia="宋体" w:cs="宋体"/>
          <w:b/>
          <w:bCs/>
          <w:color w:val="000000"/>
          <w:sz w:val="24"/>
          <w:szCs w:val="24"/>
          <w:highlight w:val="none"/>
          <w:lang w:eastAsia="zh-CN"/>
        </w:rPr>
        <w:t>最高限价</w:t>
      </w:r>
    </w:p>
    <w:p w14:paraId="2EA64EDD">
      <w:pPr>
        <w:keepNext w:val="0"/>
        <w:keepLines w:val="0"/>
        <w:pageBreakBefore w:val="0"/>
        <w:widowControl w:val="0"/>
        <w:spacing w:beforeAutospacing="0" w:afterAutospacing="0" w:line="360" w:lineRule="auto"/>
        <w:ind w:right="0" w:firstLine="482"/>
        <w:jc w:val="left"/>
        <w:outlineLvl w:val="9"/>
        <w:rPr>
          <w:rFonts w:hint="eastAsia" w:ascii="宋体" w:hAnsi="宋体" w:eastAsia="宋体" w:cs="宋体"/>
          <w:b/>
          <w:bCs/>
          <w:i/>
          <w:iCs/>
          <w:color w:val="000000"/>
          <w:sz w:val="24"/>
          <w:szCs w:val="24"/>
          <w:highlight w:val="none"/>
          <w:u w:val="single"/>
        </w:rPr>
      </w:pPr>
      <w:r>
        <w:rPr>
          <w:rFonts w:hint="eastAsia" w:ascii="宋体" w:hAnsi="宋体" w:eastAsia="宋体" w:cs="宋体"/>
          <w:b/>
          <w:bCs/>
          <w:color w:val="000000"/>
          <w:sz w:val="24"/>
          <w:szCs w:val="24"/>
          <w:highlight w:val="none"/>
          <w:lang w:val="en-US" w:eastAsia="zh-CN"/>
        </w:rPr>
        <w:t>25.5.9</w:t>
      </w:r>
      <w:r>
        <w:rPr>
          <w:rFonts w:hint="eastAsia" w:ascii="宋体" w:hAnsi="宋体" w:eastAsia="宋体" w:cs="宋体"/>
          <w:b/>
          <w:bCs/>
          <w:color w:val="000000"/>
          <w:sz w:val="24"/>
          <w:szCs w:val="24"/>
          <w:highlight w:val="none"/>
        </w:rPr>
        <w:t>不符合磋商文件中规定的实质性要求和条件的</w:t>
      </w:r>
      <w:r>
        <w:rPr>
          <w:rFonts w:hint="eastAsia" w:ascii="宋体" w:hAnsi="宋体" w:eastAsia="宋体" w:cs="宋体"/>
          <w:b/>
          <w:bCs/>
          <w:i/>
          <w:iCs/>
          <w:color w:val="000000"/>
          <w:sz w:val="24"/>
          <w:szCs w:val="24"/>
          <w:highlight w:val="none"/>
          <w:u w:val="single"/>
        </w:rPr>
        <w:t>（</w:t>
      </w:r>
      <w:r>
        <w:rPr>
          <w:rFonts w:hint="eastAsia" w:ascii="宋体" w:hAnsi="宋体" w:eastAsia="宋体" w:cs="宋体"/>
          <w:b/>
          <w:bCs/>
          <w:i w:val="0"/>
          <w:iCs w:val="0"/>
          <w:color w:val="000000"/>
          <w:sz w:val="24"/>
          <w:szCs w:val="24"/>
          <w:highlight w:val="none"/>
          <w:u w:val="single"/>
        </w:rPr>
        <w:t>本招标文件中标注★的款项为实质性响应要求和条件）</w:t>
      </w:r>
      <w:r>
        <w:rPr>
          <w:rFonts w:hint="eastAsia" w:ascii="宋体" w:hAnsi="宋体" w:eastAsia="宋体" w:cs="宋体"/>
          <w:b/>
          <w:bCs/>
          <w:i/>
          <w:iCs/>
          <w:color w:val="000000"/>
          <w:sz w:val="24"/>
          <w:szCs w:val="24"/>
          <w:highlight w:val="none"/>
          <w:u w:val="single"/>
        </w:rPr>
        <w:t>。</w:t>
      </w:r>
    </w:p>
    <w:p w14:paraId="155C583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25.5.10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5280F61">
      <w:pPr>
        <w:keepNext w:val="0"/>
        <w:keepLines w:val="0"/>
        <w:pageBreakBefore w:val="0"/>
        <w:widowControl w:val="0"/>
        <w:spacing w:beforeAutospacing="0" w:afterAutospacing="0" w:line="360" w:lineRule="auto"/>
        <w:ind w:right="0" w:firstLine="482"/>
        <w:jc w:val="left"/>
        <w:outlineLvl w:val="9"/>
        <w:rPr>
          <w:rFonts w:hint="eastAsia" w:ascii="宋体" w:hAnsi="宋体" w:eastAsia="宋体" w:cs="宋体"/>
          <w:b/>
          <w:bCs/>
          <w:i/>
          <w:iCs/>
          <w:color w:val="000000"/>
          <w:sz w:val="24"/>
          <w:szCs w:val="24"/>
          <w:highlight w:val="none"/>
          <w:u w:val="single"/>
          <w:lang w:val="en-US"/>
        </w:rPr>
      </w:pPr>
      <w:r>
        <w:rPr>
          <w:rFonts w:hint="eastAsia" w:ascii="宋体" w:hAnsi="宋体" w:eastAsia="宋体" w:cs="宋体"/>
          <w:b/>
          <w:bCs/>
          <w:color w:val="000000"/>
          <w:sz w:val="24"/>
          <w:szCs w:val="24"/>
          <w:highlight w:val="none"/>
          <w:lang w:val="en-US" w:eastAsia="zh-CN"/>
        </w:rPr>
        <w:t>25.5.11</w:t>
      </w:r>
      <w:r>
        <w:rPr>
          <w:rFonts w:hint="eastAsia" w:ascii="宋体" w:hAnsi="宋体" w:eastAsia="宋体" w:cs="宋体"/>
          <w:b/>
          <w:bCs/>
          <w:color w:val="000000"/>
          <w:sz w:val="24"/>
          <w:szCs w:val="24"/>
          <w:highlight w:val="none"/>
        </w:rPr>
        <w:t>响应文件含有采购人不能接受的附加条件的。</w:t>
      </w:r>
    </w:p>
    <w:p w14:paraId="6EF5FAF7">
      <w:pPr>
        <w:keepNext w:val="0"/>
        <w:keepLines w:val="0"/>
        <w:pageBreakBefore w:val="0"/>
        <w:widowControl w:val="0"/>
        <w:spacing w:beforeAutospacing="0" w:afterAutospacing="0" w:line="360" w:lineRule="auto"/>
        <w:ind w:right="0" w:firstLine="482"/>
        <w:jc w:val="left"/>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25.5.12本</w:t>
      </w:r>
      <w:r>
        <w:rPr>
          <w:rFonts w:hint="eastAsia" w:ascii="宋体" w:hAnsi="宋体" w:eastAsia="宋体" w:cs="宋体"/>
          <w:b/>
          <w:bCs/>
          <w:color w:val="000000"/>
          <w:sz w:val="24"/>
          <w:szCs w:val="24"/>
          <w:highlight w:val="none"/>
        </w:rPr>
        <w:t>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5959448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25.5.13响应文件未按照磋商文件要求加盖CA电子公章的。</w:t>
      </w:r>
    </w:p>
    <w:p w14:paraId="37FD2B75">
      <w:pPr>
        <w:keepNext w:val="0"/>
        <w:keepLines w:val="0"/>
        <w:pageBreakBefore w:val="0"/>
        <w:widowControl w:val="0"/>
        <w:spacing w:beforeAutospacing="0" w:afterAutospacing="0" w:line="360" w:lineRule="auto"/>
        <w:ind w:right="0" w:firstLine="482"/>
        <w:jc w:val="left"/>
        <w:outlineLvl w:val="9"/>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25.5.14不同的供应商响应文件IP地址、MAC地址、标书制作工具客户端标识码一致的。</w:t>
      </w:r>
    </w:p>
    <w:p w14:paraId="789A3D45">
      <w:pPr>
        <w:keepNext w:val="0"/>
        <w:keepLines w:val="0"/>
        <w:pageBreakBefore w:val="0"/>
        <w:widowControl w:val="0"/>
        <w:spacing w:beforeAutospacing="0" w:afterAutospacing="0" w:line="360" w:lineRule="auto"/>
        <w:ind w:right="0" w:firstLine="482"/>
        <w:jc w:val="left"/>
        <w:outlineLvl w:val="9"/>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25.5.15响应文件中已标价工程量清单与磋商文件规定的暂估价、暂列金额及甲供材料价格不一致的。</w:t>
      </w:r>
    </w:p>
    <w:p w14:paraId="5C89A44E">
      <w:pPr>
        <w:keepNext w:val="0"/>
        <w:keepLines w:val="0"/>
        <w:pageBreakBefore w:val="0"/>
        <w:widowControl w:val="0"/>
        <w:spacing w:beforeAutospacing="0" w:afterAutospacing="0" w:line="360" w:lineRule="auto"/>
        <w:ind w:right="0" w:firstLine="482"/>
        <w:jc w:val="left"/>
        <w:outlineLvl w:val="9"/>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25.5.16响应文件中已标价工程量清单与磋商文件明确列出的不可竞争费用项目或费率或计算基础不一致的。</w:t>
      </w:r>
    </w:p>
    <w:p w14:paraId="12BC12E1">
      <w:pPr>
        <w:keepNext w:val="0"/>
        <w:keepLines w:val="0"/>
        <w:pageBreakBefore w:val="0"/>
        <w:widowControl w:val="0"/>
        <w:spacing w:beforeAutospacing="0" w:afterAutospacing="0" w:line="360" w:lineRule="auto"/>
        <w:ind w:right="0" w:firstLine="482"/>
        <w:jc w:val="left"/>
        <w:outlineLvl w:val="9"/>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25.5.17响应文件的已标价工程量清单与磋商文件提供的工程量清单中的项目编码、项目名称、项目特征、计量单位、工程量不一致的。</w:t>
      </w:r>
    </w:p>
    <w:p w14:paraId="545B60E3">
      <w:pPr>
        <w:keepNext w:val="0"/>
        <w:keepLines w:val="0"/>
        <w:pageBreakBefore w:val="0"/>
        <w:widowControl w:val="0"/>
        <w:spacing w:beforeAutospacing="0" w:afterAutospacing="0" w:line="360" w:lineRule="auto"/>
        <w:ind w:right="0" w:firstLine="482"/>
        <w:jc w:val="left"/>
        <w:outlineLvl w:val="9"/>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25.5.18不符合其他法律、法规规定的情形及本磋商文件规定的属无效响应的情形。</w:t>
      </w:r>
    </w:p>
    <w:p w14:paraId="7F132C77">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25.6未实质性响应磋商文件的响应文件按无效响应处理。</w:t>
      </w:r>
    </w:p>
    <w:p w14:paraId="1D1CBF6B">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25.7如果响应文件实质上没有响应磋商文件的要求，磋商小组将予以拒绝，供应商不得通过修改或撤销不合要求的偏离或保留而使其成为实质性响应的文件。</w:t>
      </w:r>
    </w:p>
    <w:p w14:paraId="057ED0C7">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25.8供应商在项目评审全过程中应保持通讯畅通，并安排专人与代理机构及磋商小组联系。</w:t>
      </w:r>
    </w:p>
    <w:p w14:paraId="4AC13D50">
      <w:pPr>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26、磋商程序及评审方法与评审标准</w:t>
      </w:r>
    </w:p>
    <w:p w14:paraId="2E5A605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26.1磋商程序</w:t>
      </w:r>
    </w:p>
    <w:p w14:paraId="19E5FF01">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81CCE7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048E41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37BB875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31DDC63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61C272B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674FB2D5">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26.2 评审方法与评审标准</w:t>
      </w:r>
    </w:p>
    <w:p w14:paraId="213A0F3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26.2.1评审方法。经磋商确定最终采购需求和提交最后报价的供应商后，由磋商小组采用综合评分法对提交最后报价的供应商的响应文件和最后报价进行综合评分。</w:t>
      </w:r>
    </w:p>
    <w:p w14:paraId="7A329A3B">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EC5BCD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2"/>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26.2.2评审标准</w:t>
      </w:r>
    </w:p>
    <w:p w14:paraId="46D21E3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见本磋商文件第五章“评审方法与评审标准”规定。</w:t>
      </w:r>
    </w:p>
    <w:p w14:paraId="08630745">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26.3采购活动终止的情况</w:t>
      </w:r>
    </w:p>
    <w:p w14:paraId="0835F17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出现下列情形之一的，本次竞争性磋商采购活动将被终止：</w:t>
      </w:r>
    </w:p>
    <w:p w14:paraId="24CB1A5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26.3.1因情况变化，不再符合规定的竞争性磋商采购方式适用情形的。</w:t>
      </w:r>
    </w:p>
    <w:p w14:paraId="0234FA4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26.3.2出现影响采购公正的违法、违规行为的。</w:t>
      </w:r>
    </w:p>
    <w:p w14:paraId="46AA8A1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26.3.3除本磋商文件第二章第26.1.2第三款规定的情形外，在采购过程中符合要求的供应商或者最后报价未超过采购预算的供应商不足3家的。</w:t>
      </w:r>
    </w:p>
    <w:p w14:paraId="39E8321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26.3.4在苏采云系统规定时间内成功解密电子响应文件的供应商不足3家的。</w:t>
      </w:r>
    </w:p>
    <w:p w14:paraId="5A5B9844">
      <w:pPr>
        <w:shd w:val="clear" w:color="auto" w:fill="auto"/>
        <w:tabs>
          <w:tab w:val="left" w:pos="900"/>
        </w:tabs>
        <w:spacing w:line="360" w:lineRule="auto"/>
        <w:ind w:firstLine="802"/>
        <w:jc w:val="center"/>
        <w:outlineLvl w:val="0"/>
        <w:rPr>
          <w:rFonts w:hint="eastAsia" w:ascii="宋体" w:hAnsi="宋体" w:eastAsia="宋体" w:cs="宋体"/>
          <w:b/>
          <w:bCs/>
          <w:color w:val="000000"/>
          <w:sz w:val="28"/>
          <w:szCs w:val="28"/>
          <w:highlight w:val="none"/>
          <w:lang w:val="en-US" w:eastAsia="zh-CN"/>
        </w:rPr>
      </w:pPr>
      <w:bookmarkStart w:id="99" w:name="_Toc120614219"/>
      <w:r>
        <w:rPr>
          <w:rFonts w:hint="eastAsia" w:ascii="宋体" w:hAnsi="宋体" w:eastAsia="宋体" w:cs="宋体"/>
          <w:b/>
          <w:bCs/>
          <w:color w:val="000000"/>
          <w:sz w:val="28"/>
          <w:szCs w:val="28"/>
          <w:highlight w:val="none"/>
          <w:lang w:val="en-US" w:eastAsia="zh-CN"/>
        </w:rPr>
        <w:t>七、</w:t>
      </w:r>
      <w:bookmarkEnd w:id="99"/>
      <w:r>
        <w:rPr>
          <w:rFonts w:hint="eastAsia" w:ascii="宋体" w:hAnsi="宋体" w:eastAsia="宋体" w:cs="宋体"/>
          <w:b/>
          <w:bCs/>
          <w:color w:val="000000"/>
          <w:sz w:val="28"/>
          <w:szCs w:val="28"/>
          <w:highlight w:val="none"/>
          <w:lang w:val="en-US" w:eastAsia="zh-CN"/>
        </w:rPr>
        <w:t>成交</w:t>
      </w:r>
    </w:p>
    <w:p w14:paraId="1CC897C5">
      <w:pPr>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both"/>
        <w:outlineLvl w:val="1"/>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27、确定成交单位</w:t>
      </w:r>
    </w:p>
    <w:p w14:paraId="44D880B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p>
    <w:p w14:paraId="4DC05D4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3088BAD5">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27.2采购人从评审报告提出的成交候选供应商中，按照排序由高到低的原则确定成交供应商。采购人确定成交供应商后，代理机构将在“江苏政府采购网”发布成交结果公告，公告期限为1个工作日。</w:t>
      </w:r>
    </w:p>
    <w:p w14:paraId="67B24EE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27.3若有充分证据证明，成交供应商出现下列情况之一的，一经查实，将被取消成交资格：</w:t>
      </w:r>
    </w:p>
    <w:p w14:paraId="29EB0CA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27.3.1提供虚假材料谋取成交的。</w:t>
      </w:r>
    </w:p>
    <w:p w14:paraId="63619AD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27.3.2与评审专家、采购人、其他供应商或者代理机构工作人员恶意串通的。</w:t>
      </w:r>
    </w:p>
    <w:p w14:paraId="17F8C6C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27.3.3向评审专家、采购人或代理机构工作人员行贿或者提供其他不正当利益的。</w:t>
      </w:r>
    </w:p>
    <w:p w14:paraId="744AD078">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27.3.4恶意竞争，最后报价明显低于其自身合理成本且又无法提供证明的。</w:t>
      </w:r>
    </w:p>
    <w:p w14:paraId="50508EC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27.3.5不满足本磋商文件规定的实质性要求，但在评审过程中又未被磋商小组发现的。</w:t>
      </w:r>
    </w:p>
    <w:p w14:paraId="06D298B8">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27.3.6成交后无正当理由拒不与采购人签订政府采购合同或者未按照磋商文件确定的事项签订政府采购合同的。</w:t>
      </w:r>
    </w:p>
    <w:p w14:paraId="4652C0F3">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27.3.7将政府采购合同转包的。</w:t>
      </w:r>
    </w:p>
    <w:p w14:paraId="4D5FA3D8">
      <w:pPr>
        <w:shd w:val="clear" w:color="auto" w:fill="auto"/>
        <w:tabs>
          <w:tab w:val="left" w:pos="900"/>
        </w:tabs>
        <w:spacing w:line="360" w:lineRule="auto"/>
        <w:ind w:left="0" w:firstLine="0"/>
        <w:jc w:val="left"/>
        <w:outlineLvl w:val="1"/>
        <w:rPr>
          <w:rFonts w:hint="eastAsia" w:ascii="宋体" w:hAnsi="宋体" w:eastAsia="宋体" w:cs="宋体"/>
          <w:b/>
          <w:bCs/>
          <w:color w:val="000000"/>
          <w:sz w:val="28"/>
          <w:szCs w:val="28"/>
          <w:highlight w:val="none"/>
          <w:lang w:val="en-US" w:eastAsia="zh-CN"/>
        </w:rPr>
      </w:pPr>
      <w:bookmarkStart w:id="100" w:name="_Toc200451960"/>
      <w:r>
        <w:rPr>
          <w:rFonts w:hint="eastAsia" w:ascii="宋体" w:hAnsi="宋体" w:eastAsia="宋体" w:cs="宋体"/>
          <w:b/>
          <w:bCs/>
          <w:color w:val="000000"/>
          <w:sz w:val="28"/>
          <w:szCs w:val="28"/>
          <w:highlight w:val="none"/>
          <w:lang w:val="en-US" w:eastAsia="zh-CN"/>
        </w:rPr>
        <w:t>28、质疑处理</w:t>
      </w:r>
      <w:bookmarkEnd w:id="100"/>
    </w:p>
    <w:p w14:paraId="220AAC7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28.1 提出质疑的供应商应当是参与所质疑项目采购活动的供应商。潜在供应商依法获取其可质疑的采购文件的，可以对采购文件提出质疑。</w:t>
      </w:r>
    </w:p>
    <w:p w14:paraId="4F05484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28.2供应商认为采购文件、采购过程和采购结果使自己的权益受到损害的，可以在知道或应知其权益受到损害之日起七个工作日内，以书面形式根据下述28.4条款的规定向代理机构、采购人提出质疑。上述应知其权益受到损害之日，是指：</w:t>
      </w:r>
    </w:p>
    <w:p w14:paraId="15CA89E5">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28.2.1对可以质疑的采购文件提出质疑的，为收到采购文件之日或者采购文件公告期限届满之日。</w:t>
      </w:r>
    </w:p>
    <w:p w14:paraId="06E6192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28.2.2对采购过程提出质疑的，为各采购程序环节结束之日。</w:t>
      </w:r>
    </w:p>
    <w:p w14:paraId="79174A3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28.2.3对成交结果提出质疑的，为成交结果公告期限届满之日。</w:t>
      </w:r>
    </w:p>
    <w:p w14:paraId="68E1B11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供应商应当在法定质疑期内一次性提出针对同一采购程序环节的质疑。供应商如在法定期限内对同一采购程序环节提出多次质疑的，代理机构、采购人将只对供应商第一次质疑作出答复。</w:t>
      </w:r>
    </w:p>
    <w:p w14:paraId="2049466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28.3质疑函必须按照本磋商文件中《质疑函范本》要求的格式和内容进行填写。供应商如组成联合体参加磋商，则《质疑函范本》中要求签字、盖章、加盖公章之处，联合体各方均须按要求签字、盖章、加盖公章。</w:t>
      </w:r>
    </w:p>
    <w:p w14:paraId="7FCE6AE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28.4 供应商（含潜在供应商）对与本项目有关的所有询问、质疑均请向采购人及采购代理机构提出，由采购人及采购代理机构负责答复。</w:t>
      </w:r>
    </w:p>
    <w:p w14:paraId="2602D4B1">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采购人及代理机构只接收以纸质原件形式送达的质疑，建议供应商尽量通过邮寄方式提交质疑（采购人和采购代理机构不接受未填写快递运单的快件）。</w:t>
      </w:r>
    </w:p>
    <w:p w14:paraId="2905CDB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采购人、采购代理机构质疑接收人及联系方式见招标文件第一章。</w:t>
      </w:r>
    </w:p>
    <w:p w14:paraId="4F74E4B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28.5 以下情形的质疑不予受理</w:t>
      </w:r>
    </w:p>
    <w:p w14:paraId="1956DA2B">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28.5.1 内容不符合《政府采购质疑和投诉办法》第十二条规定的质疑。</w:t>
      </w:r>
    </w:p>
    <w:p w14:paraId="3ED59094">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28.5.2 超出政府采购法定期限的质疑。</w:t>
      </w:r>
    </w:p>
    <w:p w14:paraId="665739D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28.5.3 以传真、电子邮件等方式递交的非原件形式的质疑。</w:t>
      </w:r>
    </w:p>
    <w:p w14:paraId="3D790571">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28.5.4 未参加磋商活动的供应商或在磋商活动中自身权益未受到损害的供应商所提出的质疑。</w:t>
      </w:r>
    </w:p>
    <w:p w14:paraId="539F65E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28.5.5供应商组成联合体参加磋商，联合体中任何一方或多方未按要求签字、盖章、加盖公章的质疑。</w:t>
      </w:r>
    </w:p>
    <w:p w14:paraId="254FA565">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683D4B54">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29、成交通知书</w:t>
      </w:r>
    </w:p>
    <w:p w14:paraId="6314003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29.1成交结果确定后，代理机构将向成交供应商发出成交通知书。请成交供应商在成交结果公告届满之日起30日内，使用CA数字证书登录</w:t>
      </w:r>
      <w:r>
        <w:rPr>
          <w:rFonts w:hint="eastAsia" w:ascii="宋体" w:hAnsi="宋体" w:eastAsia="宋体" w:cs="宋体"/>
          <w:color w:val="auto"/>
          <w:sz w:val="24"/>
          <w:szCs w:val="24"/>
          <w:highlight w:val="none"/>
          <w:lang w:val="en-US" w:eastAsia="zh-CN" w:bidi="ar-SA"/>
        </w:rPr>
        <w:t>苏采云系统及时下载成交通知书。因系统存储空间有限，自成交结果公告届满之日起30日后，苏采云系统</w:t>
      </w:r>
      <w:r>
        <w:rPr>
          <w:rFonts w:hint="eastAsia" w:ascii="宋体" w:hAnsi="宋体" w:eastAsia="宋体" w:cs="宋体"/>
          <w:color w:val="000000"/>
          <w:sz w:val="24"/>
          <w:szCs w:val="24"/>
          <w:highlight w:val="none"/>
          <w:lang w:val="en-US" w:eastAsia="zh-CN" w:bidi="ar-SA"/>
        </w:rPr>
        <w:t>不再保证提供下载成交通知书服务，因未及时下载而造成的不利后果由成交供应商自行承担。</w:t>
      </w:r>
    </w:p>
    <w:p w14:paraId="2A3D9B5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29.2成交通知书将是合同的一个组成部分。对采购人和成交供应商均具有法律效力。成交通知书发出后，采购人改变成交结果的，或者成交供应商放弃成交项目的，应当依法承担法律责任。</w:t>
      </w:r>
    </w:p>
    <w:p w14:paraId="31EBA249">
      <w:pPr>
        <w:shd w:val="clear" w:color="auto" w:fill="auto"/>
        <w:tabs>
          <w:tab w:val="left" w:pos="900"/>
        </w:tabs>
        <w:spacing w:line="360" w:lineRule="auto"/>
        <w:ind w:firstLine="802"/>
        <w:jc w:val="center"/>
        <w:outlineLvl w:val="0"/>
        <w:rPr>
          <w:rFonts w:hint="eastAsia" w:ascii="宋体" w:hAnsi="宋体" w:eastAsia="宋体" w:cs="宋体"/>
          <w:b/>
          <w:bCs/>
          <w:sz w:val="28"/>
          <w:szCs w:val="28"/>
          <w:highlight w:val="none"/>
          <w:lang w:val="en-US" w:eastAsia="zh-CN"/>
        </w:rPr>
      </w:pPr>
      <w:bookmarkStart w:id="101" w:name="_Toc120614220"/>
      <w:bookmarkStart w:id="102" w:name="_Toc16938552"/>
      <w:bookmarkStart w:id="103" w:name="_Toc513029236"/>
      <w:bookmarkStart w:id="104" w:name="_Toc20823308"/>
      <w:r>
        <w:rPr>
          <w:rFonts w:hint="eastAsia" w:ascii="宋体" w:hAnsi="宋体" w:eastAsia="宋体" w:cs="宋体"/>
          <w:b/>
          <w:bCs/>
          <w:sz w:val="28"/>
          <w:szCs w:val="28"/>
          <w:highlight w:val="none"/>
          <w:lang w:val="en-US" w:eastAsia="zh-CN"/>
        </w:rPr>
        <w:t>八、授予合同</w:t>
      </w:r>
      <w:bookmarkEnd w:id="101"/>
      <w:bookmarkEnd w:id="102"/>
      <w:bookmarkEnd w:id="103"/>
      <w:bookmarkEnd w:id="104"/>
    </w:p>
    <w:p w14:paraId="6D3B2821">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30、签订合同</w:t>
      </w:r>
    </w:p>
    <w:p w14:paraId="79E8D2F3">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30.l成交供应商应当在成交通知书发出之日起三十日内，按照磋商文件确定的事项与采购人签订政府采购合同。</w:t>
      </w:r>
    </w:p>
    <w:p w14:paraId="498D4B04">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30.2磋商文件、成交供应商的响应文件及磋商过程中有关澄清、承诺文件均应作为合同附件。</w:t>
      </w:r>
    </w:p>
    <w:p w14:paraId="06DE2E3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30.3 签订合同后，</w:t>
      </w:r>
      <w:r>
        <w:rPr>
          <w:rFonts w:hint="eastAsia" w:ascii="宋体" w:hAnsi="宋体" w:eastAsia="宋体" w:cs="宋体"/>
          <w:i w:val="0"/>
          <w:iCs w:val="0"/>
          <w:color w:val="000000"/>
          <w:sz w:val="24"/>
          <w:szCs w:val="24"/>
          <w:highlight w:val="none"/>
          <w:u w:val="single"/>
          <w:lang w:val="en-US" w:eastAsia="zh-CN" w:bidi="ar-SA"/>
        </w:rPr>
        <w:t>成交供应商不得将合同标的进行转包</w:t>
      </w:r>
      <w:r>
        <w:rPr>
          <w:rFonts w:hint="eastAsia" w:ascii="宋体" w:hAnsi="宋体" w:eastAsia="宋体" w:cs="宋体"/>
          <w:color w:val="000000"/>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未经采购人同意，</w:t>
      </w:r>
      <w:r>
        <w:rPr>
          <w:rFonts w:hint="eastAsia" w:ascii="宋体" w:hAnsi="宋体" w:eastAsia="宋体" w:cs="宋体"/>
          <w:color w:val="000000"/>
          <w:sz w:val="24"/>
          <w:szCs w:val="24"/>
          <w:highlight w:val="none"/>
          <w:lang w:val="en-US" w:eastAsia="zh-CN" w:bidi="ar-SA"/>
        </w:rPr>
        <w:t>成交供应商也不得采用分包形式履行合同，否则采购人有权终止合同。转包或分包造成采购人损失的，成交供应商应承担相应赔偿责任。</w:t>
      </w:r>
    </w:p>
    <w:p w14:paraId="08A3E931">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000000"/>
          <w:sz w:val="28"/>
          <w:szCs w:val="28"/>
          <w:highlight w:val="none"/>
          <w:lang w:val="en-US" w:eastAsia="zh-CN" w:bidi="ar-SA"/>
        </w:rPr>
      </w:pPr>
      <w:r>
        <w:rPr>
          <w:rFonts w:hint="eastAsia" w:ascii="宋体" w:hAnsi="宋体" w:eastAsia="宋体" w:cs="宋体"/>
          <w:b/>
          <w:bCs/>
          <w:i w:val="0"/>
          <w:iCs w:val="0"/>
          <w:color w:val="000000"/>
          <w:sz w:val="28"/>
          <w:szCs w:val="28"/>
          <w:highlight w:val="none"/>
          <w:lang w:val="en-US" w:eastAsia="zh-CN" w:bidi="ar-SA"/>
        </w:rPr>
        <w:t>31、履约保证金</w:t>
      </w:r>
    </w:p>
    <w:p w14:paraId="1C820E51">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val="0"/>
          <w:bCs w:val="0"/>
          <w:i w:val="0"/>
          <w:iCs w:val="0"/>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lang w:val="en-US" w:eastAsia="zh-CN" w:bidi="ar-SA"/>
        </w:rPr>
        <w:t>31.1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p>
    <w:p w14:paraId="295B2423">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val="0"/>
          <w:bCs w:val="0"/>
          <w:i w:val="0"/>
          <w:iCs w:val="0"/>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lang w:val="en-US" w:eastAsia="zh-CN" w:bidi="ar-SA"/>
        </w:rPr>
        <w:t>31.2 成交供应商违约的，采购人将按照合同约定扣除其全部或部分履约保证金。如成交供应商违约给采购人造成的损失超过履约保证金的，应当依法赔偿超过部分的损失。</w:t>
      </w:r>
    </w:p>
    <w:p w14:paraId="0A3FD63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val="0"/>
          <w:bCs w:val="0"/>
          <w:i w:val="0"/>
          <w:iCs w:val="0"/>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lang w:val="en-US" w:eastAsia="zh-CN" w:bidi="ar-SA"/>
        </w:rPr>
        <w:t>31.3 履约保证金自合同生效之日起至合同约定的成交供应商主要义务履行完毕止，采购人应当按合同约定及时退还履约保证金。</w:t>
      </w:r>
    </w:p>
    <w:p w14:paraId="0FA2ACB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val="0"/>
          <w:bCs w:val="0"/>
          <w:i w:val="0"/>
          <w:iCs w:val="0"/>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lang w:val="en-US" w:eastAsia="zh-CN" w:bidi="ar-SA"/>
        </w:rPr>
        <w:t>31.4 逾期退还履约保证金的采购人承担违约责任，按照中国人民银行同期贷款基准利率向成交供应商支付超期资金占用费。</w:t>
      </w:r>
    </w:p>
    <w:p w14:paraId="5B07C46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lang w:val="en-US" w:eastAsia="zh-CN" w:bidi="ar-SA"/>
        </w:rPr>
        <w:t>31.5 本项目履约保证金要求详见第四章 采购需求。</w:t>
      </w:r>
    </w:p>
    <w:p w14:paraId="63A3DA48">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000000"/>
          <w:sz w:val="28"/>
          <w:szCs w:val="28"/>
          <w:highlight w:val="none"/>
          <w:lang w:val="en-US" w:eastAsia="zh-CN" w:bidi="ar-SA"/>
        </w:rPr>
      </w:pPr>
      <w:r>
        <w:rPr>
          <w:rFonts w:hint="eastAsia" w:ascii="宋体" w:hAnsi="宋体" w:eastAsia="宋体" w:cs="宋体"/>
          <w:b/>
          <w:bCs/>
          <w:i w:val="0"/>
          <w:iCs w:val="0"/>
          <w:color w:val="000000"/>
          <w:sz w:val="28"/>
          <w:szCs w:val="28"/>
          <w:highlight w:val="none"/>
          <w:lang w:val="en-US" w:eastAsia="zh-CN" w:bidi="ar-SA"/>
        </w:rPr>
        <w:t>32、履约验收</w:t>
      </w:r>
    </w:p>
    <w:p w14:paraId="5F6A124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val="0"/>
          <w:bCs w:val="0"/>
          <w:i w:val="0"/>
          <w:iCs w:val="0"/>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lang w:val="en-US" w:eastAsia="zh-CN" w:bidi="ar-SA"/>
        </w:rPr>
        <w:t>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p>
    <w:p w14:paraId="23128DF8">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lang w:val="en-US" w:eastAsia="zh-CN" w:bidi="ar-SA"/>
        </w:rPr>
        <w:t>32.2本项目履约验收要求详见第三章 合同文本。</w:t>
      </w:r>
    </w:p>
    <w:p w14:paraId="708D5E5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000000"/>
          <w:sz w:val="28"/>
          <w:szCs w:val="28"/>
          <w:highlight w:val="none"/>
          <w:lang w:val="en-US" w:eastAsia="zh-CN" w:bidi="ar-SA"/>
        </w:rPr>
      </w:pPr>
      <w:r>
        <w:rPr>
          <w:rFonts w:hint="eastAsia" w:ascii="宋体" w:hAnsi="宋体" w:eastAsia="宋体" w:cs="宋体"/>
          <w:b/>
          <w:bCs/>
          <w:i w:val="0"/>
          <w:iCs w:val="0"/>
          <w:color w:val="000000"/>
          <w:sz w:val="28"/>
          <w:szCs w:val="28"/>
          <w:highlight w:val="none"/>
          <w:lang w:val="en-US" w:eastAsia="zh-CN" w:bidi="ar-SA"/>
        </w:rPr>
        <w:t>33、标的物的追加</w:t>
      </w:r>
    </w:p>
    <w:p w14:paraId="1DCB18E1">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33.1政府采购合同履行中，采购人需追加与合同标的相同的工程、货物、服务（包含与工程相关的服务及与工程相关的货物）的，在不改变合同其他条款的前提下，可以与成交供应商协商签订补充合同，但所有补充合同的采购金额不超过原合同金额10%。</w:t>
      </w:r>
    </w:p>
    <w:p w14:paraId="2C9B3C47">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000000"/>
          <w:sz w:val="28"/>
          <w:szCs w:val="28"/>
          <w:highlight w:val="none"/>
          <w:lang w:val="en-US" w:eastAsia="zh-CN" w:bidi="ar-SA"/>
        </w:rPr>
      </w:pPr>
      <w:bookmarkStart w:id="105" w:name="_Toc120614221"/>
      <w:bookmarkStart w:id="106" w:name="_Toc479757207"/>
      <w:bookmarkStart w:id="107" w:name="_Toc513029242"/>
      <w:bookmarkStart w:id="108" w:name="_Toc16938558"/>
      <w:bookmarkStart w:id="109" w:name="_Toc20823314"/>
      <w:r>
        <w:rPr>
          <w:rFonts w:hint="eastAsia" w:ascii="宋体" w:hAnsi="宋体" w:eastAsia="宋体" w:cs="宋体"/>
          <w:b/>
          <w:bCs/>
          <w:i w:val="0"/>
          <w:iCs w:val="0"/>
          <w:color w:val="000000"/>
          <w:sz w:val="28"/>
          <w:szCs w:val="28"/>
          <w:highlight w:val="none"/>
          <w:lang w:val="en-US" w:eastAsia="zh-CN" w:bidi="ar-SA"/>
        </w:rPr>
        <w:t>34、政府采购履约资金扶持政策</w:t>
      </w:r>
      <w:bookmarkEnd w:id="105"/>
      <w:bookmarkEnd w:id="106"/>
      <w:bookmarkEnd w:id="107"/>
      <w:bookmarkEnd w:id="108"/>
      <w:bookmarkEnd w:id="109"/>
    </w:p>
    <w:p w14:paraId="49D1E16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成交供应商可凭政府采购合同办理融资贷款，详情请见江苏政府采购网“政采贷”专栏。</w:t>
      </w:r>
    </w:p>
    <w:p w14:paraId="241329E0">
      <w:pPr>
        <w:shd w:val="clear" w:color="auto" w:fill="auto"/>
        <w:tabs>
          <w:tab w:val="left" w:pos="900"/>
        </w:tabs>
        <w:spacing w:line="360" w:lineRule="auto"/>
        <w:ind w:firstLine="802"/>
        <w:jc w:val="center"/>
        <w:outlineLvl w:val="0"/>
        <w:rPr>
          <w:rFonts w:hint="eastAsia" w:ascii="宋体" w:hAnsi="宋体" w:eastAsia="宋体" w:cs="宋体"/>
          <w:b/>
          <w:bCs/>
          <w:sz w:val="28"/>
          <w:szCs w:val="28"/>
          <w:highlight w:val="none"/>
          <w:lang w:val="en-US" w:eastAsia="zh-CN"/>
        </w:rPr>
      </w:pPr>
      <w:bookmarkStart w:id="110" w:name="_Toc16938553"/>
      <w:bookmarkStart w:id="111" w:name="_Toc513029237"/>
      <w:bookmarkStart w:id="112" w:name="_Toc20823309"/>
      <w:r>
        <w:rPr>
          <w:rFonts w:hint="eastAsia" w:ascii="宋体" w:hAnsi="宋体" w:eastAsia="宋体" w:cs="宋体"/>
          <w:b/>
          <w:bCs/>
          <w:sz w:val="28"/>
          <w:szCs w:val="28"/>
          <w:highlight w:val="none"/>
          <w:lang w:val="en-US" w:eastAsia="zh-CN"/>
        </w:rPr>
        <w:t>九、政策功能</w:t>
      </w:r>
      <w:bookmarkEnd w:id="110"/>
      <w:bookmarkEnd w:id="111"/>
      <w:bookmarkEnd w:id="112"/>
    </w:p>
    <w:p w14:paraId="05286A8B">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000000"/>
          <w:sz w:val="28"/>
          <w:szCs w:val="28"/>
          <w:highlight w:val="none"/>
          <w:lang w:val="en-US" w:eastAsia="zh-CN" w:bidi="ar-SA"/>
        </w:rPr>
      </w:pPr>
      <w:r>
        <w:rPr>
          <w:rFonts w:hint="eastAsia" w:ascii="宋体" w:hAnsi="宋体" w:eastAsia="宋体" w:cs="宋体"/>
          <w:b/>
          <w:bCs/>
          <w:i w:val="0"/>
          <w:iCs w:val="0"/>
          <w:color w:val="000000"/>
          <w:sz w:val="28"/>
          <w:szCs w:val="28"/>
          <w:highlight w:val="none"/>
          <w:lang w:val="en-US" w:eastAsia="zh-CN" w:bidi="ar-SA"/>
        </w:rPr>
        <w:t>35、支持中小企业发展</w:t>
      </w:r>
    </w:p>
    <w:p w14:paraId="62B216A2">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35.</w:t>
      </w:r>
      <w:r>
        <w:rPr>
          <w:rFonts w:hint="eastAsia" w:ascii="宋体" w:hAnsi="宋体" w:eastAsia="宋体" w:cs="宋体"/>
          <w:color w:val="000000"/>
          <w:sz w:val="24"/>
          <w:highlight w:val="none"/>
        </w:rPr>
        <w:t>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p>
    <w:p w14:paraId="6B78E40B">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35.2</w:t>
      </w:r>
      <w:r>
        <w:rPr>
          <w:rFonts w:hint="eastAsia" w:ascii="宋体" w:hAnsi="宋体" w:eastAsia="宋体" w:cs="宋体"/>
          <w:color w:val="000000"/>
          <w:sz w:val="24"/>
          <w:highlight w:val="none"/>
        </w:rPr>
        <w:t>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在工程采购项目中，工程由中小企业承建，即工程施工单位为中小企业；</w:t>
      </w:r>
      <w:r>
        <w:rPr>
          <w:rFonts w:hint="eastAsia" w:ascii="宋体" w:hAnsi="宋体" w:eastAsia="宋体" w:cs="宋体"/>
          <w:color w:val="000000"/>
          <w:sz w:val="24"/>
          <w:highlight w:val="none"/>
        </w:rPr>
        <w:t>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2876873F">
      <w:pPr>
        <w:pageBreakBefore w:val="0"/>
        <w:shd w:val="clear" w:color="auto" w:fill="auto"/>
        <w:spacing w:line="360" w:lineRule="auto"/>
        <w:ind w:firstLine="482"/>
        <w:jc w:val="lef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35.3</w:t>
      </w:r>
      <w:r>
        <w:rPr>
          <w:rFonts w:hint="eastAsia" w:ascii="宋体" w:hAnsi="宋体" w:eastAsia="宋体" w:cs="宋体"/>
          <w:color w:val="000000"/>
          <w:sz w:val="24"/>
          <w:highlight w:val="none"/>
        </w:rPr>
        <w:t>本项目专门面向中小企业采购，参加本项目政府采购活动的供应商应当提供的材料：</w:t>
      </w:r>
    </w:p>
    <w:p w14:paraId="3E8C05E4">
      <w:pPr>
        <w:pageBreakBefore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1、供应商为小型企业、微型企业的，提供《</w:t>
      </w:r>
      <w:r>
        <w:rPr>
          <w:rFonts w:hint="eastAsia" w:ascii="宋体" w:hAnsi="宋体" w:eastAsia="宋体" w:cs="宋体"/>
          <w:b w:val="0"/>
          <w:bCs w:val="0"/>
          <w:color w:val="000000"/>
          <w:sz w:val="24"/>
          <w:highlight w:val="none"/>
          <w:lang w:val="en-US" w:eastAsia="zh-CN"/>
        </w:rPr>
        <w:t>中小微企业声明函</w:t>
      </w:r>
      <w:r>
        <w:rPr>
          <w:rFonts w:hint="eastAsia" w:ascii="宋体" w:hAnsi="宋体" w:eastAsia="宋体" w:cs="宋体"/>
          <w:b w:val="0"/>
          <w:bCs w:val="0"/>
          <w:color w:val="000000"/>
          <w:sz w:val="24"/>
          <w:highlight w:val="none"/>
          <w:lang w:val="en-US"/>
        </w:rPr>
        <w:t>》（第</w:t>
      </w:r>
      <w:r>
        <w:rPr>
          <w:rFonts w:hint="eastAsia" w:ascii="宋体" w:hAnsi="宋体" w:eastAsia="宋体" w:cs="宋体"/>
          <w:b w:val="0"/>
          <w:bCs w:val="0"/>
          <w:color w:val="000000"/>
          <w:sz w:val="24"/>
          <w:highlight w:val="none"/>
          <w:lang w:val="en-US" w:eastAsia="zh-CN"/>
        </w:rPr>
        <w:t>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响应</w:t>
      </w:r>
      <w:r>
        <w:rPr>
          <w:rFonts w:hint="eastAsia" w:ascii="宋体" w:hAnsi="宋体" w:eastAsia="宋体" w:cs="宋体"/>
          <w:b w:val="0"/>
          <w:bCs w:val="0"/>
          <w:color w:val="000000"/>
          <w:sz w:val="24"/>
          <w:highlight w:val="none"/>
          <w:lang w:val="en-US"/>
        </w:rPr>
        <w:t>文件格式）。</w:t>
      </w:r>
    </w:p>
    <w:p w14:paraId="6EA1DCC2">
      <w:pPr>
        <w:pageBreakBefore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八</w:t>
      </w:r>
      <w:r>
        <w:rPr>
          <w:rFonts w:hint="eastAsia" w:ascii="宋体" w:hAnsi="宋体" w:eastAsia="宋体" w:cs="宋体"/>
          <w:b w:val="0"/>
          <w:bCs w:val="0"/>
          <w:color w:val="000000"/>
          <w:sz w:val="24"/>
          <w:highlight w:val="none"/>
          <w:lang w:val="en-US"/>
        </w:rPr>
        <w:t>章 响应文件格式）。</w:t>
      </w:r>
    </w:p>
    <w:p w14:paraId="3E6CFE00">
      <w:pPr>
        <w:pageBreakBefore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75CCDCDA">
      <w:pPr>
        <w:pageBreakBefore w:val="0"/>
        <w:shd w:val="clear" w:color="auto" w:fill="auto"/>
        <w:spacing w:line="360" w:lineRule="auto"/>
        <w:ind w:firstLine="482"/>
        <w:jc w:val="lef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w:t>
      </w:r>
    </w:p>
    <w:p w14:paraId="082D1E07">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000000"/>
          <w:sz w:val="28"/>
          <w:szCs w:val="28"/>
          <w:highlight w:val="none"/>
          <w:lang w:val="en-US" w:eastAsia="zh-CN" w:bidi="ar-SA"/>
        </w:rPr>
      </w:pPr>
      <w:r>
        <w:rPr>
          <w:rFonts w:hint="eastAsia" w:ascii="宋体" w:hAnsi="宋体" w:eastAsia="宋体" w:cs="宋体"/>
          <w:b/>
          <w:bCs/>
          <w:i w:val="0"/>
          <w:iCs w:val="0"/>
          <w:color w:val="000000"/>
          <w:sz w:val="28"/>
          <w:szCs w:val="28"/>
          <w:highlight w:val="none"/>
          <w:lang w:val="en-US" w:eastAsia="zh-CN" w:bidi="ar-SA"/>
        </w:rPr>
        <w:t>36、绿色发展</w:t>
      </w:r>
    </w:p>
    <w:p w14:paraId="28BD1810">
      <w:pPr>
        <w:pageBreakBefore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3</w:t>
      </w:r>
      <w:r>
        <w:rPr>
          <w:rFonts w:hint="eastAsia" w:ascii="宋体" w:hAnsi="宋体" w:eastAsia="宋体" w:cs="宋体"/>
          <w:b w:val="0"/>
          <w:bCs w:val="0"/>
          <w:color w:val="000000"/>
          <w:sz w:val="24"/>
          <w:highlight w:val="none"/>
          <w:lang w:val="en-US" w:eastAsia="zh-CN"/>
        </w:rPr>
        <w:t>6</w:t>
      </w:r>
      <w:r>
        <w:rPr>
          <w:rFonts w:hint="eastAsia" w:ascii="宋体" w:hAnsi="宋体" w:eastAsia="宋体" w:cs="宋体"/>
          <w:b w:val="0"/>
          <w:bCs w:val="0"/>
          <w:color w:val="000000"/>
          <w:sz w:val="24"/>
          <w:highlight w:val="none"/>
          <w:lang w:val="en-US"/>
        </w:rPr>
        <w:t>.1本项目执行《关于印发环境标志产品政府采购品目清单的通知》（财库〔2019〕18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p>
    <w:p w14:paraId="5ABFB938">
      <w:pPr>
        <w:pageBreakBefore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3</w:t>
      </w:r>
      <w:r>
        <w:rPr>
          <w:rFonts w:hint="eastAsia" w:ascii="宋体" w:hAnsi="宋体" w:eastAsia="宋体" w:cs="宋体"/>
          <w:b w:val="0"/>
          <w:bCs w:val="0"/>
          <w:color w:val="000000"/>
          <w:sz w:val="24"/>
          <w:highlight w:val="none"/>
          <w:lang w:val="en-US" w:eastAsia="zh-CN"/>
        </w:rPr>
        <w:t>6</w:t>
      </w:r>
      <w:r>
        <w:rPr>
          <w:rFonts w:hint="eastAsia" w:ascii="宋体" w:hAnsi="宋体" w:eastAsia="宋体" w:cs="宋体"/>
          <w:b w:val="0"/>
          <w:bCs w:val="0"/>
          <w:color w:val="000000"/>
          <w:sz w:val="24"/>
          <w:highlight w:val="none"/>
          <w:lang w:val="en-US"/>
        </w:rPr>
        <w:t>.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p>
    <w:p w14:paraId="3E2CBAF4">
      <w:pPr>
        <w:pageBreakBefore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3</w:t>
      </w:r>
      <w:r>
        <w:rPr>
          <w:rFonts w:hint="eastAsia" w:ascii="宋体" w:hAnsi="宋体" w:eastAsia="宋体" w:cs="宋体"/>
          <w:b w:val="0"/>
          <w:bCs w:val="0"/>
          <w:color w:val="000000"/>
          <w:sz w:val="24"/>
          <w:highlight w:val="none"/>
          <w:lang w:val="en-US" w:eastAsia="zh-CN"/>
        </w:rPr>
        <w:t>6</w:t>
      </w:r>
      <w:r>
        <w:rPr>
          <w:rFonts w:hint="eastAsia" w:ascii="宋体" w:hAnsi="宋体" w:eastAsia="宋体" w:cs="宋体"/>
          <w:b w:val="0"/>
          <w:bCs w:val="0"/>
          <w:color w:val="000000"/>
          <w:sz w:val="24"/>
          <w:highlight w:val="none"/>
          <w:lang w:val="en-US"/>
        </w:rPr>
        <w:t>.3落实挥发性有机化合物（VOCs）治理要求，政府采购项目中涉及涂料、胶黏剂、</w:t>
      </w:r>
    </w:p>
    <w:p w14:paraId="23092A6A">
      <w:pPr>
        <w:pageBreakBefore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油墨、清洗剂等挥发性有机物产品的，属于强制性标准的，供应商须执行国家和我省 VOCs含量限制标准；供应商优先使用低挥发性原辅材料，将使用低 VOCs 含量的涂料、胶黏剂等纳入政府采购合同条款。</w:t>
      </w:r>
    </w:p>
    <w:p w14:paraId="7CF69E4B">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9"/>
        <w:rPr>
          <w:rFonts w:hint="eastAsia" w:ascii="宋体" w:hAnsi="宋体" w:eastAsia="宋体" w:cs="宋体"/>
          <w:b/>
          <w:bCs/>
          <w:i w:val="0"/>
          <w:iCs w:val="0"/>
          <w:color w:val="000000"/>
          <w:sz w:val="28"/>
          <w:szCs w:val="28"/>
          <w:highlight w:val="none"/>
          <w:lang w:val="en-US" w:eastAsia="zh-CN" w:bidi="ar-SA"/>
        </w:rPr>
      </w:pPr>
      <w:r>
        <w:rPr>
          <w:rFonts w:hint="eastAsia" w:ascii="宋体" w:hAnsi="宋体" w:eastAsia="宋体" w:cs="宋体"/>
          <w:b/>
          <w:bCs/>
          <w:i w:val="0"/>
          <w:iCs w:val="0"/>
          <w:color w:val="000000"/>
          <w:sz w:val="28"/>
          <w:szCs w:val="28"/>
          <w:highlight w:val="none"/>
          <w:lang w:val="en-US" w:eastAsia="zh-CN" w:bidi="ar-SA"/>
        </w:rPr>
        <w:t>37、政府采购需求标准</w:t>
      </w:r>
    </w:p>
    <w:p w14:paraId="3D6B99B8">
      <w:pPr>
        <w:pageBreakBefore w:val="0"/>
        <w:shd w:val="clear" w:color="auto" w:fill="auto"/>
        <w:spacing w:line="360" w:lineRule="auto"/>
        <w:ind w:firstLine="482"/>
        <w:jc w:val="lef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37</w:t>
      </w:r>
      <w:r>
        <w:rPr>
          <w:rFonts w:hint="eastAsia" w:ascii="宋体" w:hAnsi="宋体" w:eastAsia="宋体" w:cs="宋体"/>
          <w:b w:val="0"/>
          <w:bCs w:val="0"/>
          <w:color w:val="000000"/>
          <w:sz w:val="24"/>
          <w:highlight w:val="none"/>
          <w:lang w:val="en-US"/>
        </w:rPr>
        <w:t>.1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6013C34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color w:val="000000"/>
          <w:sz w:val="24"/>
          <w:highlight w:val="none"/>
          <w:lang w:val="en-US"/>
        </w:rPr>
      </w:pPr>
      <w:r>
        <w:rPr>
          <w:rFonts w:hint="eastAsia" w:ascii="宋体" w:hAnsi="宋体" w:cs="宋体"/>
          <w:b/>
          <w:bCs/>
          <w:i w:val="0"/>
          <w:iCs w:val="0"/>
          <w:color w:val="000000"/>
          <w:sz w:val="28"/>
          <w:szCs w:val="28"/>
          <w:highlight w:val="none"/>
          <w:lang w:val="en-US" w:eastAsia="zh-CN" w:bidi="ar-SA"/>
        </w:rPr>
        <w:t>38</w:t>
      </w:r>
      <w:r>
        <w:rPr>
          <w:rFonts w:hint="eastAsia" w:ascii="宋体" w:hAnsi="宋体" w:eastAsia="宋体" w:cs="宋体"/>
          <w:b/>
          <w:bCs/>
          <w:i w:val="0"/>
          <w:iCs w:val="0"/>
          <w:color w:val="000000"/>
          <w:sz w:val="28"/>
          <w:szCs w:val="28"/>
          <w:highlight w:val="none"/>
          <w:lang w:val="en-US" w:eastAsia="zh-CN" w:bidi="ar-SA"/>
        </w:rPr>
        <w:t>、其它事项</w:t>
      </w:r>
    </w:p>
    <w:p w14:paraId="6A0D8EE7">
      <w:pPr>
        <w:pBdr>
          <w:top w:val="none" w:color="000000" w:sz="0" w:space="0"/>
          <w:left w:val="none" w:color="000000" w:sz="0" w:space="0"/>
          <w:bottom w:val="none" w:color="000000" w:sz="0" w:space="0"/>
          <w:right w:val="none" w:color="000000" w:sz="0" w:space="0"/>
        </w:pBdr>
        <w:shd w:val="clear" w:color="auto" w:fill="auto"/>
        <w:spacing w:before="0" w:after="0" w:line="360" w:lineRule="auto"/>
        <w:ind w:left="0" w:right="0" w:firstLine="480"/>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3</w:t>
      </w:r>
      <w:r>
        <w:rPr>
          <w:rFonts w:hint="eastAsia" w:ascii="宋体" w:hAnsi="宋体" w:cs="宋体"/>
          <w:color w:val="000000"/>
          <w:sz w:val="24"/>
          <w:highlight w:val="none"/>
          <w:lang w:val="en-US" w:eastAsia="zh-CN"/>
        </w:rPr>
        <w:t>8</w:t>
      </w:r>
      <w:bookmarkStart w:id="765" w:name="_GoBack"/>
      <w:bookmarkEnd w:id="765"/>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rPr>
        <w:t>解释权</w:t>
      </w:r>
    </w:p>
    <w:p w14:paraId="4AE306A0">
      <w:pPr>
        <w:pBdr>
          <w:top w:val="none" w:color="000000" w:sz="0" w:space="0"/>
          <w:left w:val="none" w:color="000000" w:sz="0" w:space="0"/>
          <w:bottom w:val="none" w:color="000000" w:sz="0" w:space="0"/>
          <w:right w:val="none" w:color="000000" w:sz="0" w:space="0"/>
        </w:pBdr>
        <w:shd w:val="clear" w:color="auto" w:fill="auto"/>
        <w:spacing w:before="0" w:after="0" w:line="360" w:lineRule="auto"/>
        <w:ind w:left="0" w:right="0"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本招标文件根据《中华人民共和国政府采购法》《中华人民共和国政府采购法实施条例》《政府采购竞争性磋商采购方式管理暂行办法》及相关法律法规编制，解释权归代理机构。</w:t>
      </w:r>
    </w:p>
    <w:p w14:paraId="78EBD047">
      <w:pPr>
        <w:rPr>
          <w:rFonts w:hint="eastAsia" w:ascii="宋体" w:hAnsi="宋体" w:eastAsia="宋体" w:cs="宋体"/>
          <w:color w:val="auto"/>
          <w:sz w:val="24"/>
        </w:rPr>
      </w:pPr>
    </w:p>
    <w:p w14:paraId="5B3BE3DE">
      <w:pPr>
        <w:pStyle w:val="20"/>
        <w:rPr>
          <w:rFonts w:hint="eastAsia" w:ascii="宋体" w:hAnsi="宋体" w:eastAsia="宋体" w:cs="宋体"/>
          <w:color w:val="auto"/>
          <w:sz w:val="24"/>
        </w:rPr>
      </w:pPr>
    </w:p>
    <w:p w14:paraId="7D3F6729">
      <w:pPr>
        <w:rPr>
          <w:rFonts w:hint="eastAsia" w:ascii="宋体" w:hAnsi="宋体" w:eastAsia="宋体" w:cs="宋体"/>
          <w:color w:val="auto"/>
          <w:sz w:val="24"/>
        </w:rPr>
      </w:pPr>
    </w:p>
    <w:p w14:paraId="52B1B6F6">
      <w:pPr>
        <w:pStyle w:val="20"/>
        <w:rPr>
          <w:rFonts w:hint="eastAsia" w:ascii="宋体" w:hAnsi="宋体" w:eastAsia="宋体" w:cs="宋体"/>
          <w:color w:val="auto"/>
          <w:sz w:val="24"/>
        </w:rPr>
      </w:pPr>
    </w:p>
    <w:p w14:paraId="07F49642">
      <w:pPr>
        <w:pStyle w:val="20"/>
        <w:rPr>
          <w:rFonts w:hint="eastAsia" w:ascii="宋体" w:hAnsi="宋体" w:eastAsia="宋体" w:cs="宋体"/>
          <w:color w:val="auto"/>
          <w:sz w:val="24"/>
        </w:rPr>
      </w:pPr>
    </w:p>
    <w:p w14:paraId="2A5DB2AE">
      <w:pPr>
        <w:pStyle w:val="20"/>
        <w:rPr>
          <w:rFonts w:hint="eastAsia" w:ascii="宋体" w:hAnsi="宋体" w:eastAsia="宋体" w:cs="宋体"/>
          <w:color w:val="auto"/>
          <w:sz w:val="24"/>
        </w:rPr>
      </w:pPr>
    </w:p>
    <w:p w14:paraId="66062F2A">
      <w:pPr>
        <w:rPr>
          <w:rFonts w:hint="eastAsia" w:ascii="宋体" w:hAnsi="宋体" w:eastAsia="宋体" w:cs="宋体"/>
          <w:color w:val="auto"/>
          <w:sz w:val="24"/>
        </w:rPr>
      </w:pPr>
    </w:p>
    <w:p w14:paraId="5D4F8859">
      <w:pPr>
        <w:rPr>
          <w:rFonts w:hint="eastAsia"/>
          <w:color w:val="auto"/>
        </w:rPr>
      </w:pPr>
    </w:p>
    <w:p w14:paraId="4F37290A">
      <w:pPr>
        <w:rPr>
          <w:rFonts w:hint="eastAsia"/>
          <w:color w:val="auto"/>
        </w:rPr>
      </w:pPr>
    </w:p>
    <w:p w14:paraId="2CEFE217">
      <w:pPr>
        <w:rPr>
          <w:rStyle w:val="234"/>
          <w:rFonts w:hint="eastAsia" w:ascii="宋体" w:hAnsi="宋体" w:eastAsia="宋体" w:cs="宋体"/>
          <w:b/>
          <w:bCs/>
          <w:color w:val="auto"/>
          <w:sz w:val="40"/>
          <w:szCs w:val="40"/>
        </w:rPr>
      </w:pPr>
      <w:bookmarkStart w:id="113" w:name="_Toc29722"/>
      <w:bookmarkStart w:id="114" w:name="_Toc465856614"/>
      <w:bookmarkStart w:id="115" w:name="_Toc12693"/>
      <w:r>
        <w:rPr>
          <w:rStyle w:val="234"/>
          <w:rFonts w:hint="eastAsia" w:ascii="宋体" w:hAnsi="宋体" w:eastAsia="宋体" w:cs="宋体"/>
          <w:b/>
          <w:bCs/>
          <w:color w:val="auto"/>
          <w:sz w:val="40"/>
          <w:szCs w:val="40"/>
        </w:rPr>
        <w:br w:type="page"/>
      </w:r>
    </w:p>
    <w:p w14:paraId="0959999D">
      <w:pPr>
        <w:pStyle w:val="3"/>
        <w:jc w:val="center"/>
        <w:rPr>
          <w:rStyle w:val="234"/>
          <w:rFonts w:hint="eastAsia" w:ascii="宋体" w:hAnsi="宋体" w:eastAsia="宋体" w:cs="宋体"/>
          <w:b/>
          <w:bCs/>
          <w:color w:val="auto"/>
          <w:sz w:val="40"/>
          <w:szCs w:val="40"/>
        </w:rPr>
      </w:pPr>
      <w:r>
        <w:rPr>
          <w:rStyle w:val="234"/>
          <w:rFonts w:hint="eastAsia" w:ascii="宋体" w:hAnsi="宋体" w:eastAsia="宋体" w:cs="宋体"/>
          <w:b/>
          <w:bCs/>
          <w:color w:val="auto"/>
          <w:sz w:val="40"/>
          <w:szCs w:val="40"/>
        </w:rPr>
        <w:t>第三章 合同条款及格式</w:t>
      </w:r>
      <w:bookmarkStart w:id="116" w:name="_Hlt16619369"/>
      <w:bookmarkEnd w:id="116"/>
    </w:p>
    <w:p w14:paraId="1018A6F0">
      <w:pPr>
        <w:pStyle w:val="66"/>
        <w:rPr>
          <w:rFonts w:hint="eastAsia"/>
          <w:color w:val="auto"/>
        </w:rPr>
      </w:pPr>
    </w:p>
    <w:p w14:paraId="18D76814">
      <w:pPr>
        <w:spacing w:line="360" w:lineRule="auto"/>
        <w:ind w:firstLine="2078"/>
        <w:rPr>
          <w:rFonts w:hint="eastAsia" w:ascii="宋体" w:hAnsi="宋体" w:eastAsia="宋体" w:cs="宋体"/>
          <w:b/>
          <w:bCs/>
          <w:color w:val="auto"/>
          <w:sz w:val="52"/>
        </w:rPr>
      </w:pPr>
    </w:p>
    <w:p w14:paraId="282C5DC4">
      <w:pPr>
        <w:spacing w:line="360" w:lineRule="auto"/>
        <w:ind w:firstLine="2078"/>
        <w:rPr>
          <w:rFonts w:hint="eastAsia" w:ascii="宋体" w:hAnsi="宋体" w:eastAsia="宋体" w:cs="宋体"/>
          <w:b/>
          <w:bCs/>
          <w:color w:val="auto"/>
          <w:sz w:val="52"/>
        </w:rPr>
      </w:pPr>
      <w:r>
        <w:rPr>
          <w:rFonts w:hint="eastAsia" w:ascii="宋体" w:hAnsi="宋体" w:eastAsia="宋体" w:cs="宋体"/>
          <w:b/>
          <w:bCs/>
          <w:color w:val="auto"/>
          <w:sz w:val="52"/>
        </w:rPr>
        <w:t>连 云 港 市 政 府 采 购</w:t>
      </w:r>
    </w:p>
    <w:p w14:paraId="7E178BE5">
      <w:pPr>
        <w:spacing w:line="360" w:lineRule="auto"/>
        <w:rPr>
          <w:rFonts w:hint="eastAsia" w:ascii="宋体" w:hAnsi="宋体" w:eastAsia="宋体" w:cs="宋体"/>
          <w:color w:val="auto"/>
        </w:rPr>
      </w:pPr>
    </w:p>
    <w:p w14:paraId="6EA1E22F">
      <w:pPr>
        <w:spacing w:line="360" w:lineRule="auto"/>
        <w:ind w:firstLine="883"/>
        <w:jc w:val="center"/>
        <w:rPr>
          <w:rFonts w:hint="eastAsia" w:ascii="宋体" w:hAnsi="宋体" w:eastAsia="宋体" w:cs="宋体"/>
          <w:b/>
          <w:bCs/>
          <w:color w:val="auto"/>
          <w:sz w:val="44"/>
          <w:u w:val="single"/>
        </w:rPr>
      </w:pPr>
    </w:p>
    <w:p w14:paraId="2922130D">
      <w:pPr>
        <w:spacing w:line="360" w:lineRule="auto"/>
        <w:ind w:firstLine="883"/>
        <w:jc w:val="center"/>
        <w:outlineLvl w:val="1"/>
        <w:rPr>
          <w:rFonts w:hint="eastAsia" w:ascii="宋体" w:hAnsi="宋体" w:eastAsia="宋体" w:cs="宋体"/>
          <w:b/>
          <w:bCs/>
          <w:color w:val="auto"/>
          <w:sz w:val="44"/>
        </w:rPr>
      </w:pPr>
      <w:r>
        <w:rPr>
          <w:rFonts w:hint="eastAsia" w:ascii="宋体" w:hAnsi="宋体" w:eastAsia="宋体" w:cs="宋体"/>
          <w:b/>
          <w:bCs/>
          <w:color w:val="auto"/>
          <w:sz w:val="44"/>
          <w:u w:val="single"/>
        </w:rPr>
        <w:t xml:space="preserve">                    </w:t>
      </w:r>
      <w:bookmarkStart w:id="117" w:name="_Toc12412"/>
      <w:bookmarkStart w:id="118" w:name="_Toc24213"/>
      <w:bookmarkStart w:id="119" w:name="_Toc30913"/>
      <w:r>
        <w:rPr>
          <w:rFonts w:hint="eastAsia" w:ascii="宋体" w:hAnsi="宋体" w:eastAsia="宋体" w:cs="宋体"/>
          <w:b/>
          <w:bCs/>
          <w:color w:val="auto"/>
          <w:sz w:val="44"/>
        </w:rPr>
        <w:t>合同</w:t>
      </w:r>
      <w:bookmarkEnd w:id="117"/>
      <w:bookmarkEnd w:id="118"/>
      <w:bookmarkEnd w:id="119"/>
    </w:p>
    <w:p w14:paraId="2CFA2C81">
      <w:pPr>
        <w:spacing w:line="360" w:lineRule="auto"/>
        <w:rPr>
          <w:rFonts w:hint="eastAsia" w:ascii="宋体" w:hAnsi="宋体" w:eastAsia="宋体" w:cs="宋体"/>
          <w:color w:val="auto"/>
        </w:rPr>
      </w:pPr>
    </w:p>
    <w:p w14:paraId="0591543C">
      <w:pPr>
        <w:spacing w:line="360" w:lineRule="auto"/>
        <w:rPr>
          <w:rFonts w:hint="eastAsia" w:ascii="宋体" w:hAnsi="宋体" w:eastAsia="宋体" w:cs="宋体"/>
          <w:b/>
          <w:bCs/>
          <w:color w:val="auto"/>
          <w:sz w:val="44"/>
          <w:szCs w:val="44"/>
        </w:rPr>
      </w:pPr>
    </w:p>
    <w:p w14:paraId="3531D3D9">
      <w:pPr>
        <w:spacing w:line="360" w:lineRule="auto"/>
        <w:rPr>
          <w:rFonts w:hint="eastAsia" w:ascii="宋体" w:hAnsi="宋体" w:eastAsia="宋体" w:cs="宋体"/>
          <w:color w:val="auto"/>
          <w:sz w:val="44"/>
          <w:szCs w:val="44"/>
        </w:rPr>
      </w:pPr>
    </w:p>
    <w:p w14:paraId="6193EDC3">
      <w:pPr>
        <w:spacing w:line="360" w:lineRule="auto"/>
        <w:ind w:firstLine="1966"/>
        <w:rPr>
          <w:rFonts w:hint="eastAsia" w:ascii="宋体" w:hAnsi="宋体" w:eastAsia="宋体" w:cs="宋体"/>
          <w:b/>
          <w:bCs/>
          <w:color w:val="auto"/>
          <w:sz w:val="44"/>
          <w:szCs w:val="44"/>
        </w:rPr>
      </w:pPr>
      <w:r>
        <w:rPr>
          <w:rFonts w:hint="eastAsia" w:ascii="宋体" w:hAnsi="宋体" w:eastAsia="宋体" w:cs="宋体"/>
          <w:b/>
          <w:bCs/>
          <w:color w:val="auto"/>
          <w:sz w:val="44"/>
          <w:szCs w:val="44"/>
        </w:rPr>
        <w:t>合同编号：</w:t>
      </w:r>
    </w:p>
    <w:p w14:paraId="16AF89CB">
      <w:pPr>
        <w:spacing w:line="360" w:lineRule="auto"/>
        <w:ind w:firstLine="880"/>
        <w:rPr>
          <w:rFonts w:hint="eastAsia" w:ascii="宋体" w:hAnsi="宋体" w:eastAsia="宋体" w:cs="宋体"/>
          <w:color w:val="auto"/>
          <w:sz w:val="44"/>
        </w:rPr>
      </w:pPr>
    </w:p>
    <w:p w14:paraId="20A7F84F">
      <w:pPr>
        <w:spacing w:line="360" w:lineRule="auto"/>
        <w:ind w:firstLine="880"/>
        <w:rPr>
          <w:rFonts w:hint="eastAsia" w:ascii="宋体" w:hAnsi="宋体" w:eastAsia="宋体" w:cs="宋体"/>
          <w:color w:val="auto"/>
          <w:sz w:val="44"/>
        </w:rPr>
      </w:pPr>
    </w:p>
    <w:p w14:paraId="6E0E660E">
      <w:pPr>
        <w:spacing w:line="360" w:lineRule="auto"/>
        <w:ind w:firstLine="880"/>
        <w:rPr>
          <w:rFonts w:hint="eastAsia" w:ascii="宋体" w:hAnsi="宋体" w:eastAsia="宋体" w:cs="宋体"/>
          <w:color w:val="auto"/>
          <w:sz w:val="44"/>
        </w:rPr>
      </w:pPr>
    </w:p>
    <w:p w14:paraId="48C9E3B9">
      <w:pPr>
        <w:spacing w:line="360" w:lineRule="auto"/>
        <w:ind w:firstLine="1758"/>
        <w:rPr>
          <w:rFonts w:hint="eastAsia" w:ascii="宋体" w:hAnsi="宋体" w:eastAsia="宋体" w:cs="宋体"/>
          <w:b/>
          <w:bCs/>
          <w:color w:val="auto"/>
          <w:sz w:val="44"/>
        </w:rPr>
      </w:pPr>
      <w:r>
        <w:rPr>
          <w:rFonts w:hint="eastAsia" w:ascii="宋体" w:hAnsi="宋体" w:cs="宋体"/>
          <w:b/>
          <w:bCs/>
          <w:color w:val="auto"/>
          <w:sz w:val="44"/>
          <w:lang w:val="en-US" w:eastAsia="zh-CN"/>
        </w:rPr>
        <w:t>发包人</w:t>
      </w:r>
      <w:r>
        <w:rPr>
          <w:rFonts w:hint="eastAsia" w:ascii="宋体" w:hAnsi="宋体" w:eastAsia="宋体" w:cs="宋体"/>
          <w:b/>
          <w:bCs/>
          <w:color w:val="auto"/>
          <w:sz w:val="44"/>
        </w:rPr>
        <w:t>：</w:t>
      </w:r>
    </w:p>
    <w:p w14:paraId="1BF61B0D">
      <w:pPr>
        <w:spacing w:line="360" w:lineRule="auto"/>
        <w:ind w:firstLine="1758"/>
        <w:rPr>
          <w:rFonts w:hint="eastAsia" w:ascii="宋体" w:hAnsi="宋体" w:eastAsia="宋体" w:cs="宋体"/>
          <w:b/>
          <w:bCs/>
          <w:color w:val="auto"/>
          <w:sz w:val="44"/>
        </w:rPr>
      </w:pPr>
      <w:r>
        <w:rPr>
          <w:rFonts w:hint="eastAsia" w:ascii="宋体" w:hAnsi="宋体" w:cs="宋体"/>
          <w:b/>
          <w:bCs/>
          <w:color w:val="auto"/>
          <w:sz w:val="44"/>
          <w:lang w:val="en-US" w:eastAsia="zh-CN"/>
        </w:rPr>
        <w:t>承包人</w:t>
      </w:r>
      <w:r>
        <w:rPr>
          <w:rFonts w:hint="eastAsia" w:ascii="宋体" w:hAnsi="宋体" w:eastAsia="宋体" w:cs="宋体"/>
          <w:b/>
          <w:bCs/>
          <w:color w:val="auto"/>
          <w:sz w:val="44"/>
        </w:rPr>
        <w:t>：</w:t>
      </w:r>
    </w:p>
    <w:p w14:paraId="16FDD6AD">
      <w:pPr>
        <w:pStyle w:val="66"/>
        <w:rPr>
          <w:rFonts w:hint="eastAsia" w:ascii="宋体" w:hAnsi="宋体" w:eastAsia="宋体" w:cs="宋体"/>
          <w:b/>
          <w:bCs/>
          <w:color w:val="auto"/>
          <w:sz w:val="44"/>
        </w:rPr>
      </w:pPr>
    </w:p>
    <w:p w14:paraId="30937EC2">
      <w:pPr>
        <w:pStyle w:val="66"/>
        <w:rPr>
          <w:rFonts w:hint="eastAsia" w:ascii="宋体" w:hAnsi="宋体" w:eastAsia="宋体" w:cs="宋体"/>
          <w:b/>
          <w:bCs/>
          <w:color w:val="auto"/>
          <w:sz w:val="44"/>
        </w:rPr>
      </w:pPr>
    </w:p>
    <w:p w14:paraId="5DE5F906">
      <w:pPr>
        <w:spacing w:line="360" w:lineRule="auto"/>
        <w:ind w:firstLine="1758"/>
        <w:rPr>
          <w:rFonts w:hint="eastAsia" w:ascii="宋体" w:hAnsi="宋体" w:eastAsia="宋体" w:cs="宋体"/>
          <w:b/>
          <w:bCs/>
          <w:color w:val="auto"/>
          <w:sz w:val="44"/>
        </w:rPr>
      </w:pPr>
    </w:p>
    <w:p w14:paraId="700BF388">
      <w:pPr>
        <w:pStyle w:val="66"/>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连云港市政府采购合同</w:t>
      </w:r>
    </w:p>
    <w:p w14:paraId="5BACB5C8">
      <w:pPr>
        <w:pStyle w:val="66"/>
        <w:jc w:val="center"/>
        <w:rPr>
          <w:rFonts w:hint="eastAsia" w:ascii="宋体" w:hAnsi="宋体" w:cs="宋体"/>
          <w:b/>
          <w:color w:val="auto"/>
          <w:sz w:val="32"/>
          <w:szCs w:val="32"/>
          <w:highlight w:val="none"/>
        </w:rPr>
      </w:pPr>
    </w:p>
    <w:p w14:paraId="6D6087FC">
      <w:pPr>
        <w:spacing w:line="360" w:lineRule="auto"/>
        <w:ind w:firstLine="480"/>
        <w:jc w:val="center"/>
        <w:outlineLvl w:val="1"/>
        <w:rPr>
          <w:rFonts w:hint="eastAsia" w:ascii="宋体" w:hAnsi="宋体" w:eastAsia="宋体" w:cs="宋体"/>
          <w:b/>
          <w:bCs/>
          <w:color w:val="auto"/>
          <w:sz w:val="24"/>
        </w:rPr>
      </w:pPr>
      <w:bookmarkStart w:id="120" w:name="_Toc25380"/>
      <w:bookmarkStart w:id="121" w:name="_Toc12576"/>
      <w:bookmarkStart w:id="122" w:name="_Toc30496"/>
      <w:r>
        <w:rPr>
          <w:rFonts w:hint="eastAsia" w:ascii="宋体" w:hAnsi="宋体" w:eastAsia="宋体" w:cs="宋体"/>
          <w:b/>
          <w:bCs/>
          <w:color w:val="auto"/>
          <w:sz w:val="24"/>
        </w:rPr>
        <w:t>第一部分  协议书格式</w:t>
      </w:r>
      <w:bookmarkEnd w:id="120"/>
      <w:bookmarkEnd w:id="121"/>
      <w:bookmarkEnd w:id="122"/>
    </w:p>
    <w:p w14:paraId="545700B0">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发包人：</w:t>
      </w:r>
      <w:r>
        <w:rPr>
          <w:rFonts w:hint="eastAsia" w:ascii="宋体" w:hAnsi="宋体" w:eastAsia="宋体" w:cs="宋体"/>
          <w:bCs/>
          <w:color w:val="auto"/>
          <w:u w:val="single"/>
        </w:rPr>
        <w:t xml:space="preserve">                              </w:t>
      </w:r>
      <w:r>
        <w:rPr>
          <w:rFonts w:hint="eastAsia" w:ascii="宋体" w:hAnsi="宋体" w:eastAsia="宋体" w:cs="宋体"/>
          <w:bCs/>
          <w:color w:val="auto"/>
        </w:rPr>
        <w:t>（简称甲方）</w:t>
      </w:r>
    </w:p>
    <w:p w14:paraId="7AF6457A">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承包人：</w:t>
      </w:r>
      <w:r>
        <w:rPr>
          <w:rFonts w:hint="eastAsia" w:ascii="宋体" w:hAnsi="宋体" w:eastAsia="宋体" w:cs="宋体"/>
          <w:bCs/>
          <w:color w:val="auto"/>
          <w:u w:val="single"/>
        </w:rPr>
        <w:t xml:space="preserve">                              </w:t>
      </w:r>
      <w:r>
        <w:rPr>
          <w:rFonts w:hint="eastAsia" w:ascii="宋体" w:hAnsi="宋体" w:eastAsia="宋体" w:cs="宋体"/>
          <w:bCs/>
          <w:color w:val="auto"/>
        </w:rPr>
        <w:t>（简称乙方）</w:t>
      </w:r>
    </w:p>
    <w:p w14:paraId="74050FFF">
      <w:pPr>
        <w:pStyle w:val="38"/>
        <w:spacing w:line="360" w:lineRule="auto"/>
        <w:ind w:firstLine="480"/>
        <w:rPr>
          <w:rFonts w:hint="default" w:ascii="宋体" w:hAnsi="宋体" w:eastAsia="宋体" w:cs="宋体"/>
          <w:bCs/>
          <w:color w:val="auto"/>
          <w:u w:val="single"/>
          <w:lang w:val="en-US" w:eastAsia="zh-CN"/>
        </w:rPr>
      </w:pPr>
      <w:r>
        <w:rPr>
          <w:rFonts w:hint="eastAsia" w:ascii="宋体" w:eastAsia="宋体" w:cs="宋体"/>
          <w:bCs/>
          <w:color w:val="auto"/>
          <w:lang w:val="en-US" w:eastAsia="zh-CN"/>
        </w:rPr>
        <w:t>见证方：</w:t>
      </w:r>
      <w:r>
        <w:rPr>
          <w:rFonts w:hint="eastAsia" w:ascii="宋体" w:eastAsia="宋体" w:cs="宋体"/>
          <w:bCs/>
          <w:color w:val="auto"/>
          <w:u w:val="single"/>
          <w:lang w:val="en-US" w:eastAsia="zh-CN"/>
        </w:rPr>
        <w:t xml:space="preserve">                              </w:t>
      </w:r>
    </w:p>
    <w:p w14:paraId="5C194CC9">
      <w:pPr>
        <w:pStyle w:val="38"/>
        <w:spacing w:line="360" w:lineRule="auto"/>
        <w:ind w:firstLine="480"/>
        <w:rPr>
          <w:rFonts w:hint="eastAsia" w:ascii="宋体" w:hAnsi="宋体" w:eastAsia="宋体" w:cs="宋体"/>
          <w:b/>
          <w:bCs/>
          <w:color w:val="auto"/>
        </w:rPr>
      </w:pPr>
      <w:r>
        <w:rPr>
          <w:rFonts w:hint="eastAsia" w:ascii="宋体" w:hAnsi="宋体" w:eastAsia="宋体" w:cs="宋体"/>
          <w:bCs/>
          <w:color w:val="auto"/>
        </w:rPr>
        <w:t>依照《中华人民共和国民法典》、《中华人民共和国政府采购法》、《中华人民共和国建筑法》及其他有关法律、行政法规，遵循平等、自愿、公平和诚实信用的原则，双方就本建设工程施工事项协商一致，订立本合同。</w:t>
      </w:r>
    </w:p>
    <w:p w14:paraId="617B0005">
      <w:pPr>
        <w:pStyle w:val="38"/>
        <w:spacing w:line="360" w:lineRule="auto"/>
        <w:ind w:firstLine="482"/>
        <w:rPr>
          <w:rFonts w:hint="eastAsia" w:ascii="宋体" w:hAnsi="宋体" w:eastAsia="宋体" w:cs="宋体"/>
          <w:b/>
          <w:bCs/>
          <w:color w:val="auto"/>
        </w:rPr>
      </w:pPr>
      <w:r>
        <w:rPr>
          <w:rFonts w:hint="eastAsia" w:ascii="宋体" w:hAnsi="宋体" w:eastAsia="宋体" w:cs="宋体"/>
          <w:b/>
          <w:bCs/>
          <w:color w:val="auto"/>
        </w:rPr>
        <w:t>一、工程概况</w:t>
      </w:r>
    </w:p>
    <w:p w14:paraId="1C8A9786">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工程名称：</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w:t>
      </w:r>
    </w:p>
    <w:p w14:paraId="32D84F4F">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工程地点：</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w:t>
      </w:r>
    </w:p>
    <w:p w14:paraId="658AD968">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资金来源：</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w:t>
      </w:r>
    </w:p>
    <w:p w14:paraId="3771B1D9">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工程内容：</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w:t>
      </w:r>
    </w:p>
    <w:p w14:paraId="2A2D9E35">
      <w:pPr>
        <w:pStyle w:val="38"/>
        <w:spacing w:line="360" w:lineRule="auto"/>
        <w:ind w:firstLine="482"/>
        <w:rPr>
          <w:rFonts w:hint="eastAsia" w:ascii="宋体" w:hAnsi="宋体" w:eastAsia="宋体" w:cs="宋体"/>
          <w:b/>
          <w:bCs/>
          <w:color w:val="auto"/>
        </w:rPr>
      </w:pPr>
      <w:r>
        <w:rPr>
          <w:rFonts w:hint="eastAsia" w:ascii="宋体" w:hAnsi="宋体" w:eastAsia="宋体" w:cs="宋体"/>
          <w:b/>
          <w:bCs/>
          <w:color w:val="auto"/>
        </w:rPr>
        <w:t>二、合同工期</w:t>
      </w:r>
    </w:p>
    <w:p w14:paraId="0935C8DB">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计划开工日期：</w:t>
      </w:r>
      <w:r>
        <w:rPr>
          <w:rFonts w:hint="eastAsia" w:ascii="宋体" w:hAnsi="宋体" w:eastAsia="宋体" w:cs="宋体"/>
          <w:bCs/>
          <w:color w:val="auto"/>
          <w:u w:val="single"/>
        </w:rPr>
        <w:t xml:space="preserve">     </w:t>
      </w:r>
      <w:r>
        <w:rPr>
          <w:rFonts w:hint="eastAsia" w:ascii="宋体" w:hAnsi="宋体" w:eastAsia="宋体" w:cs="宋体"/>
          <w:bCs/>
          <w:color w:val="auto"/>
        </w:rPr>
        <w:t>年</w:t>
      </w:r>
      <w:r>
        <w:rPr>
          <w:rFonts w:hint="eastAsia" w:ascii="宋体" w:hAnsi="宋体" w:eastAsia="宋体" w:cs="宋体"/>
          <w:bCs/>
          <w:color w:val="auto"/>
          <w:u w:val="single"/>
        </w:rPr>
        <w:t xml:space="preserve">    </w:t>
      </w:r>
      <w:r>
        <w:rPr>
          <w:rFonts w:hint="eastAsia" w:ascii="宋体" w:hAnsi="宋体" w:eastAsia="宋体" w:cs="宋体"/>
          <w:bCs/>
          <w:color w:val="auto"/>
        </w:rPr>
        <w:t>月</w:t>
      </w:r>
      <w:r>
        <w:rPr>
          <w:rFonts w:hint="eastAsia" w:ascii="宋体" w:hAnsi="宋体" w:eastAsia="宋体" w:cs="宋体"/>
          <w:bCs/>
          <w:color w:val="auto"/>
          <w:u w:val="single"/>
        </w:rPr>
        <w:t xml:space="preserve">    </w:t>
      </w:r>
      <w:r>
        <w:rPr>
          <w:rFonts w:hint="eastAsia" w:ascii="宋体" w:hAnsi="宋体" w:eastAsia="宋体" w:cs="宋体"/>
          <w:bCs/>
          <w:color w:val="auto"/>
        </w:rPr>
        <w:t>日（具体开工日期以发包人开工通知书为准）；</w:t>
      </w:r>
    </w:p>
    <w:p w14:paraId="4D43D056">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计划竣工日期：</w:t>
      </w:r>
      <w:r>
        <w:rPr>
          <w:rFonts w:hint="eastAsia" w:ascii="宋体" w:hAnsi="宋体" w:eastAsia="宋体" w:cs="宋体"/>
          <w:bCs/>
          <w:color w:val="auto"/>
          <w:u w:val="single"/>
        </w:rPr>
        <w:t xml:space="preserve">     </w:t>
      </w:r>
      <w:r>
        <w:rPr>
          <w:rFonts w:hint="eastAsia" w:ascii="宋体" w:hAnsi="宋体" w:eastAsia="宋体" w:cs="宋体"/>
          <w:bCs/>
          <w:color w:val="auto"/>
        </w:rPr>
        <w:t>年</w:t>
      </w:r>
      <w:r>
        <w:rPr>
          <w:rFonts w:hint="eastAsia" w:ascii="宋体" w:hAnsi="宋体" w:eastAsia="宋体" w:cs="宋体"/>
          <w:bCs/>
          <w:color w:val="auto"/>
          <w:u w:val="single"/>
        </w:rPr>
        <w:t xml:space="preserve">    </w:t>
      </w:r>
      <w:r>
        <w:rPr>
          <w:rFonts w:hint="eastAsia" w:ascii="宋体" w:hAnsi="宋体" w:eastAsia="宋体" w:cs="宋体"/>
          <w:bCs/>
          <w:color w:val="auto"/>
        </w:rPr>
        <w:t>月</w:t>
      </w:r>
      <w:r>
        <w:rPr>
          <w:rFonts w:hint="eastAsia" w:ascii="宋体" w:hAnsi="宋体" w:eastAsia="宋体" w:cs="宋体"/>
          <w:bCs/>
          <w:color w:val="auto"/>
          <w:u w:val="single"/>
        </w:rPr>
        <w:t xml:space="preserve">    </w:t>
      </w:r>
      <w:r>
        <w:rPr>
          <w:rFonts w:hint="eastAsia" w:ascii="宋体" w:hAnsi="宋体" w:eastAsia="宋体" w:cs="宋体"/>
          <w:bCs/>
          <w:color w:val="auto"/>
        </w:rPr>
        <w:t>日之前完成；</w:t>
      </w:r>
    </w:p>
    <w:p w14:paraId="41596FF9">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合同工期总日历天数</w:t>
      </w:r>
      <w:r>
        <w:rPr>
          <w:rFonts w:hint="eastAsia" w:ascii="宋体" w:hAnsi="宋体" w:eastAsia="宋体" w:cs="宋体"/>
          <w:bCs/>
          <w:color w:val="auto"/>
          <w:u w:val="single"/>
        </w:rPr>
        <w:t xml:space="preserve">      </w:t>
      </w:r>
      <w:r>
        <w:rPr>
          <w:rFonts w:hint="eastAsia" w:ascii="宋体" w:hAnsi="宋体" w:eastAsia="宋体" w:cs="宋体"/>
          <w:bCs/>
          <w:color w:val="auto"/>
        </w:rPr>
        <w:t>天（合同确定工期以自报工期为准）。</w:t>
      </w:r>
    </w:p>
    <w:p w14:paraId="7A0881CB">
      <w:pPr>
        <w:pStyle w:val="38"/>
        <w:spacing w:line="360" w:lineRule="auto"/>
        <w:ind w:firstLine="482"/>
        <w:rPr>
          <w:rFonts w:hint="eastAsia" w:ascii="宋体" w:hAnsi="宋体" w:eastAsia="宋体" w:cs="宋体"/>
          <w:b/>
          <w:bCs/>
          <w:color w:val="auto"/>
        </w:rPr>
      </w:pPr>
      <w:r>
        <w:rPr>
          <w:rFonts w:hint="eastAsia" w:ascii="宋体" w:hAnsi="宋体" w:eastAsia="宋体" w:cs="宋体"/>
          <w:b/>
          <w:bCs/>
          <w:color w:val="auto"/>
        </w:rPr>
        <w:t>三、质量标准</w:t>
      </w:r>
    </w:p>
    <w:p w14:paraId="3B8248EA">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工程质量标准：</w:t>
      </w:r>
      <w:r>
        <w:rPr>
          <w:rFonts w:hint="eastAsia" w:ascii="宋体" w:hAnsi="宋体" w:eastAsia="宋体" w:cs="宋体"/>
          <w:bCs/>
          <w:color w:val="auto"/>
          <w:u w:val="single"/>
        </w:rPr>
        <w:t>合格</w:t>
      </w:r>
      <w:r>
        <w:rPr>
          <w:rFonts w:hint="eastAsia" w:ascii="宋体" w:hAnsi="宋体" w:eastAsia="宋体" w:cs="宋体"/>
          <w:bCs/>
          <w:color w:val="auto"/>
        </w:rPr>
        <w:t>。质量标准的评定以国家或行业的现行质量检验评定标准为依据。</w:t>
      </w:r>
    </w:p>
    <w:p w14:paraId="2BBC5FDD">
      <w:pPr>
        <w:pStyle w:val="38"/>
        <w:spacing w:line="360" w:lineRule="auto"/>
        <w:ind w:firstLine="482"/>
        <w:rPr>
          <w:rFonts w:hint="eastAsia" w:ascii="宋体" w:hAnsi="宋体" w:eastAsia="宋体" w:cs="宋体"/>
          <w:b/>
          <w:bCs/>
          <w:color w:val="auto"/>
        </w:rPr>
      </w:pPr>
      <w:r>
        <w:rPr>
          <w:rFonts w:hint="eastAsia" w:ascii="宋体" w:hAnsi="宋体" w:eastAsia="宋体" w:cs="宋体"/>
          <w:b/>
          <w:bCs/>
          <w:color w:val="auto"/>
        </w:rPr>
        <w:t>四、合同价款和形式</w:t>
      </w:r>
    </w:p>
    <w:p w14:paraId="792AE5E3">
      <w:pPr>
        <w:pStyle w:val="38"/>
        <w:spacing w:line="360" w:lineRule="auto"/>
        <w:ind w:firstLine="480"/>
        <w:rPr>
          <w:rFonts w:hint="eastAsia" w:ascii="宋体" w:hAnsi="宋体" w:eastAsia="宋体" w:cs="宋体"/>
          <w:bCs/>
          <w:color w:val="auto"/>
          <w:u w:val="single"/>
        </w:rPr>
      </w:pPr>
      <w:r>
        <w:rPr>
          <w:rFonts w:hint="eastAsia" w:ascii="宋体" w:hAnsi="宋体" w:eastAsia="宋体" w:cs="宋体"/>
          <w:bCs/>
          <w:color w:val="auto"/>
        </w:rPr>
        <w:t>1、合同价款为：人民币（大写）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元（￥：</w:t>
      </w:r>
      <w:r>
        <w:rPr>
          <w:rFonts w:hint="eastAsia" w:ascii="宋体" w:hAnsi="宋体" w:eastAsia="宋体" w:cs="宋体"/>
          <w:bCs/>
          <w:color w:val="auto"/>
          <w:u w:val="single"/>
        </w:rPr>
        <w:t xml:space="preserve">              </w:t>
      </w:r>
      <w:r>
        <w:rPr>
          <w:rFonts w:hint="eastAsia" w:ascii="宋体" w:hAnsi="宋体" w:eastAsia="宋体" w:cs="宋体"/>
          <w:bCs/>
          <w:color w:val="auto"/>
        </w:rPr>
        <w:t>元）；</w:t>
      </w:r>
    </w:p>
    <w:p w14:paraId="7BF09B7B">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其中：（1）安全文明施工费：</w:t>
      </w:r>
    </w:p>
    <w:p w14:paraId="3EF15A7F">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元（￥：</w:t>
      </w:r>
      <w:r>
        <w:rPr>
          <w:rFonts w:hint="eastAsia" w:ascii="宋体" w:hAnsi="宋体" w:eastAsia="宋体" w:cs="宋体"/>
          <w:bCs/>
          <w:color w:val="auto"/>
          <w:u w:val="single"/>
        </w:rPr>
        <w:t xml:space="preserve">              </w:t>
      </w:r>
      <w:r>
        <w:rPr>
          <w:rFonts w:hint="eastAsia" w:ascii="宋体" w:hAnsi="宋体" w:eastAsia="宋体" w:cs="宋体"/>
          <w:bCs/>
          <w:color w:val="auto"/>
        </w:rPr>
        <w:t>元）；</w:t>
      </w:r>
    </w:p>
    <w:p w14:paraId="1BB32AAB">
      <w:pPr>
        <w:pStyle w:val="38"/>
        <w:numPr>
          <w:ilvl w:val="0"/>
          <w:numId w:val="4"/>
        </w:numPr>
        <w:spacing w:line="360" w:lineRule="auto"/>
        <w:ind w:firstLine="480"/>
        <w:rPr>
          <w:rFonts w:hint="eastAsia" w:ascii="宋体" w:hAnsi="宋体" w:eastAsia="宋体" w:cs="宋体"/>
          <w:bCs/>
          <w:color w:val="auto"/>
        </w:rPr>
      </w:pPr>
      <w:r>
        <w:rPr>
          <w:rFonts w:hint="eastAsia" w:ascii="宋体" w:hAnsi="宋体" w:eastAsia="宋体" w:cs="宋体"/>
          <w:bCs/>
          <w:color w:val="auto"/>
        </w:rPr>
        <w:t>材料和工程设备暂估价：</w:t>
      </w:r>
    </w:p>
    <w:p w14:paraId="27101E6C">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元（￥：</w:t>
      </w:r>
      <w:r>
        <w:rPr>
          <w:rFonts w:hint="eastAsia" w:ascii="宋体" w:hAnsi="宋体" w:eastAsia="宋体" w:cs="宋体"/>
          <w:bCs/>
          <w:color w:val="auto"/>
          <w:u w:val="single"/>
        </w:rPr>
        <w:t xml:space="preserve">              </w:t>
      </w:r>
      <w:r>
        <w:rPr>
          <w:rFonts w:hint="eastAsia" w:ascii="宋体" w:hAnsi="宋体" w:eastAsia="宋体" w:cs="宋体"/>
          <w:bCs/>
          <w:color w:val="auto"/>
        </w:rPr>
        <w:t>元）；</w:t>
      </w:r>
    </w:p>
    <w:p w14:paraId="682AF6C6">
      <w:pPr>
        <w:pStyle w:val="38"/>
        <w:numPr>
          <w:ilvl w:val="0"/>
          <w:numId w:val="4"/>
        </w:numPr>
        <w:spacing w:line="360" w:lineRule="auto"/>
        <w:ind w:firstLine="480"/>
        <w:rPr>
          <w:rFonts w:hint="eastAsia" w:ascii="宋体" w:hAnsi="宋体" w:eastAsia="宋体" w:cs="宋体"/>
          <w:bCs/>
          <w:color w:val="auto"/>
        </w:rPr>
      </w:pPr>
      <w:r>
        <w:rPr>
          <w:rFonts w:hint="eastAsia" w:ascii="宋体" w:hAnsi="宋体" w:eastAsia="宋体" w:cs="宋体"/>
          <w:bCs/>
          <w:color w:val="auto"/>
        </w:rPr>
        <w:t>专业工程暂估价：</w:t>
      </w:r>
    </w:p>
    <w:p w14:paraId="237FCEF5">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元（￥：</w:t>
      </w:r>
      <w:r>
        <w:rPr>
          <w:rFonts w:hint="eastAsia" w:ascii="宋体" w:hAnsi="宋体" w:eastAsia="宋体" w:cs="宋体"/>
          <w:bCs/>
          <w:color w:val="auto"/>
          <w:u w:val="single"/>
        </w:rPr>
        <w:t xml:space="preserve">              </w:t>
      </w:r>
      <w:r>
        <w:rPr>
          <w:rFonts w:hint="eastAsia" w:ascii="宋体" w:hAnsi="宋体" w:eastAsia="宋体" w:cs="宋体"/>
          <w:bCs/>
          <w:color w:val="auto"/>
        </w:rPr>
        <w:t>元）；</w:t>
      </w:r>
    </w:p>
    <w:p w14:paraId="01E71C9F">
      <w:pPr>
        <w:pStyle w:val="38"/>
        <w:numPr>
          <w:ilvl w:val="0"/>
          <w:numId w:val="4"/>
        </w:numPr>
        <w:spacing w:line="360" w:lineRule="auto"/>
        <w:ind w:firstLine="480"/>
        <w:rPr>
          <w:rFonts w:hint="eastAsia" w:ascii="宋体" w:hAnsi="宋体" w:eastAsia="宋体" w:cs="宋体"/>
          <w:bCs/>
          <w:color w:val="auto"/>
        </w:rPr>
      </w:pPr>
      <w:r>
        <w:rPr>
          <w:rFonts w:hint="eastAsia" w:ascii="宋体" w:hAnsi="宋体" w:eastAsia="宋体" w:cs="宋体"/>
          <w:bCs/>
          <w:color w:val="auto"/>
        </w:rPr>
        <w:t>暂估金额：</w:t>
      </w:r>
    </w:p>
    <w:p w14:paraId="4E3C6E1E">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元（￥：</w:t>
      </w:r>
      <w:r>
        <w:rPr>
          <w:rFonts w:hint="eastAsia" w:ascii="宋体" w:hAnsi="宋体" w:eastAsia="宋体" w:cs="宋体"/>
          <w:bCs/>
          <w:color w:val="auto"/>
          <w:u w:val="single"/>
        </w:rPr>
        <w:t xml:space="preserve">              </w:t>
      </w:r>
      <w:r>
        <w:rPr>
          <w:rFonts w:hint="eastAsia" w:ascii="宋体" w:hAnsi="宋体" w:eastAsia="宋体" w:cs="宋体"/>
          <w:bCs/>
          <w:color w:val="auto"/>
        </w:rPr>
        <w:t>元）；</w:t>
      </w:r>
    </w:p>
    <w:p w14:paraId="387798C4">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合同价款包括：</w:t>
      </w:r>
      <w:r>
        <w:rPr>
          <w:rFonts w:hint="eastAsia" w:ascii="宋体" w:hAnsi="宋体" w:eastAsia="宋体" w:cs="宋体"/>
          <w:color w:val="auto"/>
        </w:rPr>
        <w:t>采购文件所确定的采购范围内的全部工作内容的价格体现。其应包括但不限于施工设备、劳务、管理、材料、采购、运输、装卸、保管、制造、安装、维护、利润、税金及政策性文件规定的各项应有费用（含现场垃圾清理费用）；</w:t>
      </w:r>
    </w:p>
    <w:p w14:paraId="534FF9D9">
      <w:pPr>
        <w:pStyle w:val="38"/>
        <w:numPr>
          <w:ilvl w:val="0"/>
          <w:numId w:val="5"/>
        </w:numPr>
        <w:spacing w:line="360" w:lineRule="auto"/>
        <w:ind w:firstLine="480"/>
        <w:rPr>
          <w:rFonts w:hint="eastAsia" w:ascii="宋体" w:hAnsi="宋体" w:eastAsia="宋体" w:cs="宋体"/>
          <w:bCs/>
          <w:color w:val="auto"/>
        </w:rPr>
      </w:pPr>
      <w:r>
        <w:rPr>
          <w:rFonts w:hint="eastAsia" w:ascii="宋体" w:hAnsi="宋体" w:eastAsia="宋体" w:cs="宋体"/>
          <w:bCs/>
          <w:color w:val="auto"/>
        </w:rPr>
        <w:t>合同价格形式：</w:t>
      </w:r>
      <w:r>
        <w:rPr>
          <w:rFonts w:hint="eastAsia" w:ascii="宋体" w:hAnsi="宋体" w:eastAsia="宋体" w:cs="宋体"/>
          <w:bCs/>
          <w:color w:val="auto"/>
          <w:u w:val="single"/>
        </w:rPr>
        <w:t>固定单价</w:t>
      </w:r>
      <w:r>
        <w:rPr>
          <w:rFonts w:hint="eastAsia" w:ascii="宋体" w:hAnsi="宋体" w:eastAsia="宋体" w:cs="宋体"/>
          <w:bCs/>
          <w:color w:val="auto"/>
        </w:rPr>
        <w:t>。</w:t>
      </w:r>
    </w:p>
    <w:p w14:paraId="78527147">
      <w:pPr>
        <w:pStyle w:val="38"/>
        <w:spacing w:line="360" w:lineRule="auto"/>
        <w:ind w:firstLine="482"/>
        <w:rPr>
          <w:rFonts w:hint="eastAsia" w:ascii="宋体" w:hAnsi="宋体" w:eastAsia="宋体" w:cs="宋体"/>
          <w:b/>
          <w:bCs/>
          <w:color w:val="auto"/>
        </w:rPr>
      </w:pPr>
      <w:bookmarkStart w:id="123" w:name="_Toc351203485"/>
      <w:r>
        <w:rPr>
          <w:rFonts w:hint="eastAsia" w:ascii="宋体" w:hAnsi="宋体" w:eastAsia="宋体" w:cs="宋体"/>
          <w:b/>
          <w:bCs/>
          <w:color w:val="auto"/>
        </w:rPr>
        <w:t>五、</w:t>
      </w:r>
      <w:bookmarkEnd w:id="123"/>
      <w:r>
        <w:rPr>
          <w:rFonts w:hint="eastAsia" w:ascii="宋体" w:hAnsi="宋体" w:eastAsia="宋体" w:cs="宋体"/>
          <w:b/>
          <w:bCs/>
          <w:color w:val="auto"/>
        </w:rPr>
        <w:t>项目经理</w:t>
      </w:r>
    </w:p>
    <w:p w14:paraId="655FD95F">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承包人拟派项目经理：</w:t>
      </w:r>
    </w:p>
    <w:p w14:paraId="186D48C1">
      <w:pPr>
        <w:pStyle w:val="38"/>
        <w:spacing w:line="360" w:lineRule="auto"/>
        <w:ind w:firstLine="480"/>
        <w:rPr>
          <w:rFonts w:hint="eastAsia" w:ascii="宋体" w:hAnsi="宋体" w:eastAsia="宋体" w:cs="宋体"/>
          <w:bCs/>
          <w:i/>
          <w:iCs/>
          <w:color w:val="auto"/>
          <w:lang w:eastAsia="zh-CN"/>
        </w:rPr>
      </w:pPr>
      <w:r>
        <w:rPr>
          <w:rFonts w:hint="eastAsia" w:ascii="宋体" w:hAnsi="宋体" w:eastAsia="宋体" w:cs="宋体"/>
          <w:bCs/>
          <w:color w:val="auto"/>
        </w:rPr>
        <w:t>姓名</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i w:val="0"/>
          <w:iCs w:val="0"/>
          <w:color w:val="auto"/>
          <w:lang w:eastAsia="zh-CN"/>
        </w:rPr>
        <w:t>；</w:t>
      </w:r>
    </w:p>
    <w:p w14:paraId="0082A9F9">
      <w:pPr>
        <w:pStyle w:val="38"/>
        <w:spacing w:line="360" w:lineRule="auto"/>
        <w:ind w:firstLine="480"/>
        <w:rPr>
          <w:rFonts w:hint="eastAsia" w:ascii="宋体" w:hAnsi="宋体" w:eastAsia="宋体" w:cs="宋体"/>
          <w:color w:val="auto"/>
        </w:rPr>
      </w:pPr>
      <w:r>
        <w:rPr>
          <w:rFonts w:hint="eastAsia" w:ascii="宋体" w:hAnsi="宋体" w:eastAsia="宋体" w:cs="宋体"/>
          <w:color w:val="auto"/>
        </w:rPr>
        <w:t>执业资格证书号：</w:t>
      </w:r>
      <w:r>
        <w:rPr>
          <w:rFonts w:hint="eastAsia" w:ascii="宋体" w:hAnsi="宋体" w:eastAsia="宋体" w:cs="宋体"/>
          <w:color w:val="auto"/>
          <w:u w:val="single"/>
        </w:rPr>
        <w:t xml:space="preserve">        </w:t>
      </w:r>
      <w:r>
        <w:rPr>
          <w:rFonts w:hint="eastAsia" w:ascii="宋体" w:hAnsi="宋体" w:eastAsia="宋体" w:cs="宋体"/>
          <w:color w:val="auto"/>
        </w:rPr>
        <w:t>；</w:t>
      </w:r>
    </w:p>
    <w:p w14:paraId="5B1B9C62">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身份证号：</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w:t>
      </w:r>
    </w:p>
    <w:p w14:paraId="44E56A5C">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联系方式</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rPr>
        <w:t>。</w:t>
      </w:r>
    </w:p>
    <w:p w14:paraId="3C2587D5">
      <w:pPr>
        <w:pStyle w:val="38"/>
        <w:spacing w:line="360" w:lineRule="auto"/>
        <w:ind w:firstLine="482"/>
        <w:rPr>
          <w:rFonts w:hint="eastAsia" w:ascii="宋体" w:hAnsi="宋体" w:eastAsia="宋体" w:cs="宋体"/>
          <w:b/>
          <w:bCs/>
          <w:color w:val="auto"/>
        </w:rPr>
      </w:pPr>
      <w:r>
        <w:rPr>
          <w:rFonts w:hint="eastAsia" w:ascii="宋体" w:hAnsi="宋体" w:eastAsia="宋体" w:cs="宋体"/>
          <w:b/>
          <w:bCs/>
          <w:color w:val="auto"/>
        </w:rPr>
        <w:t>六、组成合同的文件</w:t>
      </w:r>
    </w:p>
    <w:p w14:paraId="51C65F39">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1、组成本合同的文件包括：</w:t>
      </w:r>
    </w:p>
    <w:p w14:paraId="0894052D">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（1）成交通知书；</w:t>
      </w:r>
    </w:p>
    <w:p w14:paraId="6382F808">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 xml:space="preserve">（2）投标函及其附录； </w:t>
      </w:r>
    </w:p>
    <w:p w14:paraId="2C34EE4F">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（3）专用合同条款及其附件；</w:t>
      </w:r>
    </w:p>
    <w:p w14:paraId="7540311A">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（4）通用合同条款；</w:t>
      </w:r>
    </w:p>
    <w:p w14:paraId="6CF769B7">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（5）技术标准和要求；</w:t>
      </w:r>
    </w:p>
    <w:p w14:paraId="30A75E03">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（6）图纸；</w:t>
      </w:r>
    </w:p>
    <w:p w14:paraId="2D83AE46">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（7）已标价工程量清单或预算书；</w:t>
      </w:r>
    </w:p>
    <w:p w14:paraId="5C772F78">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（8）其他合同文件；</w:t>
      </w:r>
    </w:p>
    <w:p w14:paraId="6EC3435E">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2、双方有关工程的洽商、变更等书面协议或文件视为本合同的组成部分。</w:t>
      </w:r>
    </w:p>
    <w:p w14:paraId="74BB85FC">
      <w:pPr>
        <w:spacing w:line="360" w:lineRule="auto"/>
        <w:ind w:firstLine="482"/>
        <w:rPr>
          <w:rFonts w:hint="eastAsia" w:ascii="宋体" w:hAnsi="宋体" w:eastAsia="宋体" w:cs="宋体"/>
          <w:color w:val="auto"/>
          <w:sz w:val="24"/>
        </w:rPr>
      </w:pPr>
      <w:r>
        <w:rPr>
          <w:rFonts w:hint="eastAsia" w:ascii="宋体" w:hAnsi="宋体" w:eastAsia="宋体" w:cs="宋体"/>
          <w:b/>
          <w:bCs/>
          <w:color w:val="auto"/>
          <w:sz w:val="24"/>
        </w:rPr>
        <w:t>七、</w:t>
      </w:r>
      <w:r>
        <w:rPr>
          <w:rFonts w:hint="eastAsia" w:ascii="宋体" w:hAnsi="宋体" w:eastAsia="宋体" w:cs="宋体"/>
          <w:color w:val="auto"/>
          <w:sz w:val="24"/>
        </w:rPr>
        <w:t>本协议书中有关词语含义与本合同第二部分《通用条款》中分别赋予它们的定义相同。</w:t>
      </w:r>
    </w:p>
    <w:p w14:paraId="07888A95">
      <w:pPr>
        <w:spacing w:line="360" w:lineRule="auto"/>
        <w:ind w:firstLine="482"/>
        <w:rPr>
          <w:rFonts w:hint="eastAsia" w:ascii="宋体" w:hAnsi="宋体" w:eastAsia="宋体" w:cs="宋体"/>
          <w:color w:val="auto"/>
          <w:sz w:val="24"/>
        </w:rPr>
      </w:pPr>
      <w:r>
        <w:rPr>
          <w:rFonts w:hint="eastAsia" w:ascii="宋体" w:hAnsi="宋体" w:eastAsia="宋体" w:cs="宋体"/>
          <w:b/>
          <w:bCs/>
          <w:color w:val="auto"/>
          <w:sz w:val="24"/>
        </w:rPr>
        <w:t>八、</w:t>
      </w:r>
      <w:r>
        <w:rPr>
          <w:rFonts w:hint="eastAsia" w:ascii="宋体" w:hAnsi="宋体" w:eastAsia="宋体" w:cs="宋体"/>
          <w:color w:val="auto"/>
          <w:sz w:val="24"/>
        </w:rPr>
        <w:t>承包人向发包人承诺按照合同约定进行施工、竣工并在质量保修期内承担工程质量保修责任。</w:t>
      </w:r>
    </w:p>
    <w:p w14:paraId="5BF7421A">
      <w:pPr>
        <w:spacing w:line="360" w:lineRule="auto"/>
        <w:ind w:firstLine="482"/>
        <w:rPr>
          <w:rFonts w:hint="eastAsia" w:ascii="宋体" w:hAnsi="宋体" w:eastAsia="宋体" w:cs="宋体"/>
          <w:color w:val="auto"/>
          <w:sz w:val="24"/>
        </w:rPr>
      </w:pPr>
      <w:r>
        <w:rPr>
          <w:rFonts w:hint="eastAsia" w:ascii="宋体" w:hAnsi="宋体" w:eastAsia="宋体" w:cs="宋体"/>
          <w:b/>
          <w:bCs/>
          <w:color w:val="auto"/>
          <w:sz w:val="24"/>
        </w:rPr>
        <w:t>九、</w:t>
      </w:r>
      <w:r>
        <w:rPr>
          <w:rFonts w:hint="eastAsia" w:ascii="宋体" w:hAnsi="宋体" w:eastAsia="宋体" w:cs="宋体"/>
          <w:color w:val="auto"/>
          <w:sz w:val="24"/>
        </w:rPr>
        <w:t>发包人向承包人承诺按照合同约定的期限和方式支付合同价款及其他应当支付的款项。</w:t>
      </w:r>
    </w:p>
    <w:p w14:paraId="2D97DC90">
      <w:pPr>
        <w:pStyle w:val="38"/>
        <w:spacing w:line="360" w:lineRule="auto"/>
        <w:ind w:firstLine="482"/>
        <w:rPr>
          <w:rFonts w:hint="eastAsia" w:ascii="宋体" w:hAnsi="宋体" w:eastAsia="宋体" w:cs="宋体"/>
          <w:b/>
          <w:bCs/>
          <w:color w:val="auto"/>
        </w:rPr>
      </w:pPr>
      <w:r>
        <w:rPr>
          <w:rFonts w:hint="eastAsia" w:ascii="宋体" w:hAnsi="宋体" w:eastAsia="宋体" w:cs="宋体"/>
          <w:b/>
          <w:bCs/>
          <w:color w:val="auto"/>
        </w:rPr>
        <w:t>十、合同生效及其他</w:t>
      </w:r>
    </w:p>
    <w:p w14:paraId="7293FBDF">
      <w:pPr>
        <w:pStyle w:val="38"/>
        <w:spacing w:line="360" w:lineRule="auto"/>
        <w:ind w:firstLine="480"/>
        <w:jc w:val="left"/>
        <w:rPr>
          <w:rFonts w:hint="eastAsia" w:ascii="宋体" w:hAnsi="宋体" w:eastAsia="宋体" w:cs="宋体"/>
          <w:bCs/>
          <w:color w:val="auto"/>
        </w:rPr>
      </w:pPr>
      <w:r>
        <w:rPr>
          <w:rFonts w:hint="eastAsia" w:ascii="宋体" w:hAnsi="宋体" w:eastAsia="宋体" w:cs="宋体"/>
          <w:bCs/>
          <w:color w:val="auto"/>
        </w:rPr>
        <w:t>合同订立时间：</w:t>
      </w:r>
      <w:r>
        <w:rPr>
          <w:rFonts w:hint="eastAsia" w:ascii="宋体" w:hAnsi="宋体" w:eastAsia="宋体" w:cs="宋体"/>
          <w:bCs/>
          <w:color w:val="auto"/>
          <w:u w:val="single"/>
        </w:rPr>
        <w:t xml:space="preserve">     </w:t>
      </w:r>
      <w:r>
        <w:rPr>
          <w:rFonts w:hint="eastAsia" w:ascii="宋体" w:hAnsi="宋体" w:eastAsia="宋体" w:cs="宋体"/>
          <w:bCs/>
          <w:color w:val="auto"/>
        </w:rPr>
        <w:t>年</w:t>
      </w:r>
      <w:r>
        <w:rPr>
          <w:rFonts w:hint="eastAsia" w:ascii="宋体" w:hAnsi="宋体" w:eastAsia="宋体" w:cs="宋体"/>
          <w:bCs/>
          <w:color w:val="auto"/>
          <w:u w:val="single"/>
        </w:rPr>
        <w:t xml:space="preserve">    </w:t>
      </w:r>
      <w:r>
        <w:rPr>
          <w:rFonts w:hint="eastAsia" w:ascii="宋体" w:hAnsi="宋体" w:eastAsia="宋体" w:cs="宋体"/>
          <w:bCs/>
          <w:color w:val="auto"/>
        </w:rPr>
        <w:t>月</w:t>
      </w:r>
      <w:r>
        <w:rPr>
          <w:rFonts w:hint="eastAsia" w:ascii="宋体" w:hAnsi="宋体" w:eastAsia="宋体" w:cs="宋体"/>
          <w:bCs/>
          <w:color w:val="auto"/>
          <w:u w:val="single"/>
        </w:rPr>
        <w:t xml:space="preserve">    </w:t>
      </w:r>
      <w:r>
        <w:rPr>
          <w:rFonts w:hint="eastAsia" w:ascii="宋体" w:hAnsi="宋体" w:eastAsia="宋体" w:cs="宋体"/>
          <w:bCs/>
          <w:color w:val="auto"/>
        </w:rPr>
        <w:t>日；</w:t>
      </w:r>
    </w:p>
    <w:p w14:paraId="50A40883">
      <w:pPr>
        <w:pStyle w:val="38"/>
        <w:spacing w:line="360" w:lineRule="auto"/>
        <w:ind w:firstLine="480"/>
        <w:jc w:val="left"/>
        <w:rPr>
          <w:rFonts w:hint="eastAsia" w:ascii="宋体" w:hAnsi="宋体" w:eastAsia="宋体" w:cs="宋体"/>
          <w:bCs/>
          <w:color w:val="auto"/>
        </w:rPr>
      </w:pPr>
      <w:r>
        <w:rPr>
          <w:rFonts w:hint="eastAsia" w:ascii="宋体" w:hAnsi="宋体" w:eastAsia="宋体" w:cs="宋体"/>
          <w:bCs/>
          <w:color w:val="auto"/>
        </w:rPr>
        <w:t>合同订立地点：</w:t>
      </w:r>
      <w:r>
        <w:rPr>
          <w:rFonts w:hint="eastAsia" w:ascii="宋体" w:hAnsi="宋体" w:eastAsia="宋体" w:cs="宋体"/>
          <w:bCs/>
          <w:color w:val="auto"/>
          <w:u w:val="single"/>
        </w:rPr>
        <w:t xml:space="preserve">                    </w:t>
      </w:r>
      <w:r>
        <w:rPr>
          <w:rFonts w:hint="eastAsia" w:ascii="宋体" w:hAnsi="宋体" w:eastAsia="宋体" w:cs="宋体"/>
          <w:bCs/>
          <w:color w:val="auto"/>
        </w:rPr>
        <w:t>；</w:t>
      </w:r>
    </w:p>
    <w:p w14:paraId="1855029A">
      <w:pPr>
        <w:pStyle w:val="38"/>
        <w:spacing w:line="360" w:lineRule="auto"/>
        <w:ind w:firstLine="480"/>
        <w:jc w:val="left"/>
        <w:rPr>
          <w:rFonts w:hint="eastAsia" w:ascii="宋体" w:hAnsi="宋体" w:eastAsia="宋体" w:cs="宋体"/>
          <w:bCs/>
          <w:color w:val="auto"/>
        </w:rPr>
      </w:pPr>
      <w:r>
        <w:rPr>
          <w:rFonts w:hint="eastAsia" w:ascii="宋体" w:hAnsi="宋体" w:eastAsia="宋体" w:cs="宋体"/>
          <w:bCs/>
          <w:color w:val="auto"/>
        </w:rPr>
        <w:t>本合同双方约定经法定代表人或授权委托人签字并加盖公章后生效；</w:t>
      </w:r>
    </w:p>
    <w:p w14:paraId="17E9096A">
      <w:pPr>
        <w:pStyle w:val="24"/>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本合同未尽事宜，遵照《中华人民共和国民法典》《中华人民共和国建筑法》有关条文执行；</w:t>
      </w:r>
    </w:p>
    <w:p w14:paraId="30DC73D4">
      <w:pPr>
        <w:pStyle w:val="38"/>
        <w:spacing w:line="360" w:lineRule="auto"/>
        <w:ind w:firstLine="480"/>
        <w:rPr>
          <w:rFonts w:hint="eastAsia" w:ascii="宋体" w:hAnsi="宋体" w:eastAsia="宋体" w:cs="宋体"/>
          <w:bCs/>
          <w:color w:val="auto"/>
        </w:rPr>
      </w:pPr>
      <w:r>
        <w:rPr>
          <w:rFonts w:hint="eastAsia" w:ascii="宋体" w:hAnsi="宋体" w:eastAsia="宋体" w:cs="宋体"/>
          <w:color w:val="auto"/>
          <w:sz w:val="24"/>
          <w:szCs w:val="24"/>
        </w:rPr>
        <w:t>本合本合同正本一式</w:t>
      </w:r>
      <w:r>
        <w:rPr>
          <w:rFonts w:hint="eastAsia" w:ascii="宋体" w:hAnsi="宋体" w:eastAsia="宋体" w:cs="宋体"/>
          <w:color w:val="auto"/>
          <w:sz w:val="24"/>
          <w:szCs w:val="24"/>
          <w:u w:val="single"/>
        </w:rPr>
        <w:t xml:space="preserve"> 六 </w:t>
      </w:r>
      <w:r>
        <w:rPr>
          <w:rFonts w:hint="eastAsia" w:ascii="宋体" w:hAnsi="宋体" w:eastAsia="宋体" w:cs="宋体"/>
          <w:color w:val="auto"/>
          <w:sz w:val="24"/>
          <w:szCs w:val="24"/>
        </w:rPr>
        <w:t>份，甲乙双方各执</w:t>
      </w:r>
      <w:r>
        <w:rPr>
          <w:rFonts w:hint="eastAsia" w:ascii="宋体" w:hAnsi="宋体" w:eastAsia="宋体" w:cs="宋体"/>
          <w:color w:val="auto"/>
          <w:sz w:val="24"/>
          <w:szCs w:val="24"/>
          <w:u w:val="single"/>
        </w:rPr>
        <w:t xml:space="preserve"> 二 </w:t>
      </w:r>
      <w:r>
        <w:rPr>
          <w:rFonts w:hint="eastAsia" w:ascii="宋体" w:hAnsi="宋体" w:eastAsia="宋体" w:cs="宋体"/>
          <w:color w:val="auto"/>
          <w:sz w:val="24"/>
          <w:szCs w:val="24"/>
        </w:rPr>
        <w:t>份、财政监管部门及见证方各执</w:t>
      </w:r>
      <w:r>
        <w:rPr>
          <w:rFonts w:hint="eastAsia" w:ascii="宋体" w:hAnsi="宋体" w:eastAsia="宋体" w:cs="宋体"/>
          <w:color w:val="auto"/>
          <w:sz w:val="24"/>
          <w:szCs w:val="24"/>
          <w:u w:val="single"/>
        </w:rPr>
        <w:t xml:space="preserve"> 一 份</w:t>
      </w:r>
      <w:r>
        <w:rPr>
          <w:rFonts w:hint="eastAsia" w:ascii="宋体" w:hAnsi="宋体" w:eastAsia="宋体" w:cs="宋体"/>
          <w:color w:val="auto"/>
          <w:sz w:val="24"/>
          <w:szCs w:val="24"/>
        </w:rPr>
        <w:t>，具有同等法律效力。</w:t>
      </w:r>
    </w:p>
    <w:p w14:paraId="3BC8125F">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 xml:space="preserve">发包人：（公章）                承包人：（公章）                  </w:t>
      </w:r>
    </w:p>
    <w:p w14:paraId="6418CD37">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 xml:space="preserve">地址：                          地址：                          </w:t>
      </w:r>
    </w:p>
    <w:p w14:paraId="3B346838">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 xml:space="preserve">法定代表人：                    法定代表人：                    </w:t>
      </w:r>
    </w:p>
    <w:p w14:paraId="0793DDFF">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 xml:space="preserve">委托代表人：                    委托代表人：                     </w:t>
      </w:r>
    </w:p>
    <w:p w14:paraId="509A5302">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 xml:space="preserve">电   话：                       电   话：                                </w:t>
      </w:r>
    </w:p>
    <w:p w14:paraId="46C69BE7">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 xml:space="preserve">开户银行：                      开户银行：                       </w:t>
      </w:r>
    </w:p>
    <w:p w14:paraId="4738CF9C">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 xml:space="preserve">账 号：                         账  号：          </w:t>
      </w:r>
    </w:p>
    <w:p w14:paraId="06EBB1AB">
      <w:pPr>
        <w:pStyle w:val="38"/>
        <w:spacing w:line="360" w:lineRule="auto"/>
        <w:ind w:firstLine="480"/>
        <w:rPr>
          <w:rFonts w:hint="eastAsia" w:ascii="宋体" w:hAnsi="宋体" w:eastAsia="宋体" w:cs="宋体"/>
          <w:bCs/>
          <w:color w:val="auto"/>
        </w:rPr>
      </w:pPr>
    </w:p>
    <w:p w14:paraId="49A412F6">
      <w:pPr>
        <w:pStyle w:val="38"/>
        <w:spacing w:line="360" w:lineRule="auto"/>
        <w:ind w:firstLine="480"/>
        <w:rPr>
          <w:rFonts w:hint="default" w:ascii="宋体" w:hAnsi="宋体" w:eastAsia="宋体" w:cs="宋体"/>
          <w:bCs/>
          <w:color w:val="auto"/>
          <w:lang w:val="en-US" w:eastAsia="zh-CN"/>
        </w:rPr>
      </w:pPr>
      <w:r>
        <w:rPr>
          <w:rFonts w:hint="eastAsia" w:ascii="宋体" w:hAnsi="宋体" w:eastAsia="宋体" w:cs="宋体"/>
          <w:bCs/>
          <w:color w:val="auto"/>
        </w:rPr>
        <w:t>见 证 方：</w:t>
      </w:r>
    </w:p>
    <w:p w14:paraId="37372618">
      <w:pPr>
        <w:pStyle w:val="38"/>
        <w:spacing w:line="360" w:lineRule="auto"/>
        <w:ind w:firstLine="480"/>
        <w:rPr>
          <w:rFonts w:hint="default" w:ascii="宋体" w:hAnsi="宋体" w:eastAsia="宋体" w:cs="宋体"/>
          <w:bCs/>
          <w:color w:val="auto"/>
          <w:lang w:val="en-US" w:eastAsia="zh-CN"/>
        </w:rPr>
      </w:pPr>
      <w:r>
        <w:rPr>
          <w:rFonts w:hint="eastAsia" w:ascii="宋体" w:eastAsia="宋体" w:cs="宋体"/>
          <w:bCs/>
          <w:color w:val="auto"/>
          <w:lang w:val="en-US" w:eastAsia="zh-CN"/>
        </w:rPr>
        <w:t xml:space="preserve">见证日期：    </w:t>
      </w:r>
      <w:r>
        <w:rPr>
          <w:rFonts w:hint="eastAsia" w:ascii="宋体" w:hAnsi="宋体" w:eastAsia="宋体" w:cs="宋体"/>
          <w:color w:val="auto"/>
          <w:sz w:val="24"/>
          <w:szCs w:val="24"/>
        </w:rPr>
        <w:t>年   月   日</w:t>
      </w:r>
    </w:p>
    <w:p w14:paraId="78BC4F40">
      <w:pPr>
        <w:pStyle w:val="38"/>
        <w:spacing w:line="360" w:lineRule="auto"/>
        <w:ind w:firstLine="480"/>
        <w:rPr>
          <w:rFonts w:hint="eastAsia" w:ascii="宋体" w:hAnsi="宋体" w:eastAsia="宋体" w:cs="宋体"/>
          <w:bCs/>
          <w:color w:val="auto"/>
        </w:rPr>
      </w:pPr>
    </w:p>
    <w:p w14:paraId="3F0132AB">
      <w:pPr>
        <w:pStyle w:val="38"/>
        <w:spacing w:line="360" w:lineRule="auto"/>
        <w:ind w:firstLine="480"/>
        <w:rPr>
          <w:rFonts w:hint="eastAsia" w:ascii="宋体" w:hAnsi="宋体" w:eastAsia="宋体" w:cs="宋体"/>
          <w:bCs/>
          <w:color w:val="auto"/>
        </w:rPr>
      </w:pPr>
    </w:p>
    <w:p w14:paraId="25BD639C">
      <w:pPr>
        <w:pStyle w:val="38"/>
        <w:spacing w:line="360" w:lineRule="auto"/>
        <w:ind w:firstLine="480"/>
        <w:rPr>
          <w:rFonts w:hint="eastAsia" w:ascii="宋体" w:hAnsi="宋体" w:eastAsia="宋体" w:cs="宋体"/>
          <w:bCs/>
          <w:color w:val="auto"/>
        </w:rPr>
      </w:pPr>
    </w:p>
    <w:p w14:paraId="32DDB1CE">
      <w:pPr>
        <w:pStyle w:val="38"/>
        <w:spacing w:line="360" w:lineRule="auto"/>
        <w:ind w:firstLine="480"/>
        <w:rPr>
          <w:rFonts w:hint="eastAsia" w:ascii="宋体" w:hAnsi="宋体" w:eastAsia="宋体" w:cs="宋体"/>
          <w:bCs/>
          <w:color w:val="auto"/>
        </w:rPr>
      </w:pPr>
    </w:p>
    <w:p w14:paraId="78F0AEFF">
      <w:pPr>
        <w:pStyle w:val="38"/>
        <w:spacing w:line="360" w:lineRule="auto"/>
        <w:ind w:firstLine="480"/>
        <w:rPr>
          <w:rFonts w:hint="eastAsia" w:ascii="宋体" w:hAnsi="宋体" w:eastAsia="宋体" w:cs="宋体"/>
          <w:bCs/>
          <w:color w:val="auto"/>
        </w:rPr>
      </w:pPr>
    </w:p>
    <w:p w14:paraId="201476F5">
      <w:pPr>
        <w:pStyle w:val="38"/>
        <w:spacing w:line="360" w:lineRule="auto"/>
        <w:ind w:firstLine="480"/>
        <w:rPr>
          <w:rFonts w:hint="eastAsia" w:ascii="宋体" w:hAnsi="宋体" w:eastAsia="宋体" w:cs="宋体"/>
          <w:bCs/>
          <w:color w:val="auto"/>
        </w:rPr>
      </w:pPr>
    </w:p>
    <w:p w14:paraId="3BB1C02A">
      <w:pPr>
        <w:pStyle w:val="38"/>
        <w:spacing w:line="360" w:lineRule="auto"/>
        <w:ind w:firstLine="480"/>
        <w:rPr>
          <w:rFonts w:hint="eastAsia" w:ascii="宋体" w:hAnsi="宋体" w:eastAsia="宋体" w:cs="宋体"/>
          <w:bCs/>
          <w:color w:val="auto"/>
        </w:rPr>
      </w:pPr>
    </w:p>
    <w:p w14:paraId="06CE5A19">
      <w:pPr>
        <w:pStyle w:val="38"/>
        <w:spacing w:line="360" w:lineRule="auto"/>
        <w:ind w:firstLine="480"/>
        <w:rPr>
          <w:rFonts w:hint="eastAsia" w:ascii="宋体" w:hAnsi="宋体" w:eastAsia="宋体" w:cs="宋体"/>
          <w:bCs/>
          <w:color w:val="auto"/>
        </w:rPr>
      </w:pPr>
    </w:p>
    <w:p w14:paraId="3E14EAE7">
      <w:pPr>
        <w:pStyle w:val="38"/>
        <w:spacing w:line="360" w:lineRule="auto"/>
        <w:ind w:firstLine="480"/>
        <w:rPr>
          <w:rFonts w:hint="eastAsia" w:ascii="宋体" w:hAnsi="宋体" w:eastAsia="宋体" w:cs="宋体"/>
          <w:bCs/>
          <w:color w:val="auto"/>
        </w:rPr>
      </w:pPr>
    </w:p>
    <w:p w14:paraId="1BCBFDE8">
      <w:pPr>
        <w:pStyle w:val="38"/>
        <w:spacing w:line="360" w:lineRule="auto"/>
        <w:ind w:firstLine="480"/>
        <w:rPr>
          <w:rFonts w:hint="eastAsia" w:ascii="宋体" w:hAnsi="宋体" w:eastAsia="宋体" w:cs="宋体"/>
          <w:bCs/>
          <w:color w:val="auto"/>
        </w:rPr>
      </w:pPr>
    </w:p>
    <w:p w14:paraId="577B0EC4">
      <w:pPr>
        <w:pStyle w:val="38"/>
        <w:spacing w:line="360" w:lineRule="auto"/>
        <w:ind w:firstLine="480"/>
        <w:rPr>
          <w:rFonts w:hint="eastAsia" w:ascii="宋体" w:hAnsi="宋体" w:eastAsia="宋体" w:cs="宋体"/>
          <w:bCs/>
          <w:color w:val="auto"/>
        </w:rPr>
      </w:pPr>
    </w:p>
    <w:p w14:paraId="0C8A6559">
      <w:pPr>
        <w:pStyle w:val="38"/>
        <w:spacing w:line="360" w:lineRule="auto"/>
        <w:ind w:firstLine="480"/>
        <w:rPr>
          <w:rFonts w:hint="eastAsia" w:ascii="宋体" w:hAnsi="宋体" w:eastAsia="宋体" w:cs="宋体"/>
          <w:bCs/>
          <w:color w:val="auto"/>
        </w:rPr>
      </w:pPr>
    </w:p>
    <w:p w14:paraId="37F57F4D">
      <w:pPr>
        <w:pStyle w:val="38"/>
        <w:spacing w:line="360" w:lineRule="auto"/>
        <w:ind w:firstLine="480"/>
        <w:rPr>
          <w:rFonts w:hint="eastAsia" w:ascii="宋体" w:hAnsi="宋体" w:eastAsia="宋体" w:cs="宋体"/>
          <w:bCs/>
          <w:color w:val="auto"/>
        </w:rPr>
      </w:pPr>
    </w:p>
    <w:p w14:paraId="595E8244">
      <w:pPr>
        <w:pStyle w:val="38"/>
        <w:spacing w:line="360" w:lineRule="auto"/>
        <w:ind w:firstLine="480"/>
        <w:rPr>
          <w:rFonts w:hint="eastAsia" w:ascii="宋体" w:hAnsi="宋体" w:eastAsia="宋体" w:cs="宋体"/>
          <w:bCs/>
          <w:color w:val="auto"/>
        </w:rPr>
      </w:pPr>
    </w:p>
    <w:p w14:paraId="7FA6EEAB">
      <w:pPr>
        <w:pStyle w:val="38"/>
        <w:spacing w:line="360" w:lineRule="auto"/>
        <w:ind w:firstLine="480"/>
        <w:rPr>
          <w:rFonts w:hint="eastAsia" w:ascii="宋体" w:hAnsi="宋体" w:eastAsia="宋体" w:cs="宋体"/>
          <w:bCs/>
          <w:color w:val="auto"/>
        </w:rPr>
      </w:pPr>
    </w:p>
    <w:p w14:paraId="08F01CC6">
      <w:pPr>
        <w:pStyle w:val="38"/>
        <w:spacing w:line="360" w:lineRule="auto"/>
        <w:ind w:firstLine="480"/>
        <w:rPr>
          <w:rFonts w:hint="eastAsia" w:ascii="宋体" w:hAnsi="宋体" w:eastAsia="宋体" w:cs="宋体"/>
          <w:bCs/>
          <w:color w:val="auto"/>
        </w:rPr>
      </w:pPr>
    </w:p>
    <w:p w14:paraId="30EF7FAF">
      <w:pPr>
        <w:pStyle w:val="4"/>
        <w:spacing w:line="360" w:lineRule="auto"/>
        <w:rPr>
          <w:rFonts w:hint="eastAsia" w:ascii="宋体" w:hAnsi="宋体" w:eastAsia="宋体" w:cs="宋体"/>
          <w:color w:val="auto"/>
          <w:sz w:val="24"/>
          <w:szCs w:val="24"/>
        </w:rPr>
      </w:pPr>
      <w:bookmarkStart w:id="124" w:name="_Toc7506"/>
      <w:bookmarkStart w:id="125" w:name="_Toc17825"/>
      <w:bookmarkStart w:id="126" w:name="_Toc498006745"/>
      <w:bookmarkStart w:id="127" w:name="_Toc515874989"/>
      <w:bookmarkStart w:id="128" w:name="_Toc6026"/>
      <w:r>
        <w:rPr>
          <w:rFonts w:hint="eastAsia" w:ascii="宋体" w:hAnsi="宋体" w:eastAsia="宋体" w:cs="宋体"/>
          <w:color w:val="auto"/>
          <w:sz w:val="24"/>
          <w:szCs w:val="24"/>
        </w:rPr>
        <w:t>第二部分  通用合同条款</w:t>
      </w:r>
      <w:bookmarkEnd w:id="124"/>
      <w:bookmarkEnd w:id="125"/>
      <w:bookmarkEnd w:id="126"/>
      <w:bookmarkEnd w:id="127"/>
      <w:bookmarkEnd w:id="128"/>
    </w:p>
    <w:p w14:paraId="428AF96A">
      <w:pPr>
        <w:spacing w:line="360" w:lineRule="auto"/>
        <w:ind w:firstLine="480"/>
        <w:rPr>
          <w:rFonts w:hint="eastAsia" w:ascii="宋体" w:hAnsi="宋体" w:eastAsia="宋体" w:cs="宋体"/>
          <w:color w:val="auto"/>
          <w:sz w:val="24"/>
        </w:rPr>
      </w:pPr>
    </w:p>
    <w:p w14:paraId="7BEA7F2E">
      <w:pPr>
        <w:spacing w:line="360" w:lineRule="auto"/>
        <w:ind w:firstLine="482"/>
        <w:rPr>
          <w:rFonts w:hint="eastAsia" w:ascii="宋体" w:hAnsi="宋体" w:eastAsia="宋体" w:cs="宋体"/>
          <w:color w:val="auto"/>
          <w:sz w:val="24"/>
        </w:rPr>
      </w:pPr>
      <w:r>
        <w:rPr>
          <w:rFonts w:hint="eastAsia" w:ascii="宋体" w:hAnsi="宋体" w:eastAsia="宋体" w:cs="宋体"/>
          <w:b/>
          <w:color w:val="auto"/>
          <w:sz w:val="24"/>
        </w:rPr>
        <w:t>通用合同条款执行《建设工程施工合同（示范文本）》(GF—2017—0201)。</w:t>
      </w:r>
    </w:p>
    <w:p w14:paraId="6B1B4694">
      <w:pPr>
        <w:tabs>
          <w:tab w:val="left" w:pos="0"/>
        </w:tabs>
        <w:spacing w:line="360" w:lineRule="auto"/>
        <w:ind w:right="-36" w:firstLine="604"/>
        <w:rPr>
          <w:rFonts w:hint="eastAsia" w:ascii="宋体" w:hAnsi="宋体" w:eastAsia="宋体" w:cs="宋体"/>
          <w:color w:val="auto"/>
          <w:sz w:val="24"/>
        </w:rPr>
      </w:pPr>
    </w:p>
    <w:p w14:paraId="2A29696B">
      <w:pPr>
        <w:pStyle w:val="4"/>
        <w:spacing w:line="360" w:lineRule="auto"/>
        <w:rPr>
          <w:rFonts w:hint="eastAsia" w:ascii="宋体" w:hAnsi="宋体" w:eastAsia="宋体" w:cs="宋体"/>
          <w:color w:val="auto"/>
          <w:sz w:val="24"/>
          <w:szCs w:val="24"/>
        </w:rPr>
      </w:pPr>
      <w:bookmarkStart w:id="129" w:name="_Toc498006746"/>
      <w:bookmarkStart w:id="130" w:name="_Toc515874990"/>
      <w:r>
        <w:rPr>
          <w:rFonts w:hint="eastAsia" w:ascii="宋体" w:hAnsi="宋体" w:eastAsia="宋体" w:cs="宋体"/>
          <w:color w:val="auto"/>
          <w:sz w:val="24"/>
          <w:szCs w:val="24"/>
        </w:rPr>
        <w:br w:type="page" w:clear="all"/>
      </w:r>
      <w:bookmarkStart w:id="131" w:name="_Toc27953"/>
      <w:bookmarkStart w:id="132" w:name="_Toc27227"/>
      <w:bookmarkStart w:id="133" w:name="_Toc1602"/>
      <w:r>
        <w:rPr>
          <w:rFonts w:hint="eastAsia" w:ascii="宋体" w:hAnsi="宋体" w:eastAsia="宋体" w:cs="宋体"/>
          <w:color w:val="auto"/>
          <w:sz w:val="24"/>
          <w:szCs w:val="24"/>
        </w:rPr>
        <w:t>第三部分  专用合同条款</w:t>
      </w:r>
      <w:bookmarkEnd w:id="129"/>
      <w:bookmarkEnd w:id="130"/>
      <w:bookmarkEnd w:id="131"/>
      <w:bookmarkEnd w:id="132"/>
      <w:bookmarkEnd w:id="133"/>
    </w:p>
    <w:p w14:paraId="4A367177">
      <w:pPr>
        <w:pStyle w:val="5"/>
        <w:spacing w:before="0" w:after="0" w:line="360" w:lineRule="auto"/>
        <w:ind w:firstLine="482"/>
        <w:rPr>
          <w:rFonts w:hint="eastAsia" w:ascii="宋体" w:hAnsi="宋体" w:eastAsia="宋体" w:cs="宋体"/>
          <w:color w:val="auto"/>
          <w:sz w:val="24"/>
          <w:szCs w:val="24"/>
        </w:rPr>
      </w:pPr>
      <w:bookmarkStart w:id="134" w:name="_Toc351203633"/>
      <w:r>
        <w:rPr>
          <w:rFonts w:hint="eastAsia" w:ascii="宋体" w:hAnsi="宋体" w:eastAsia="宋体" w:cs="宋体"/>
          <w:color w:val="auto"/>
          <w:sz w:val="24"/>
          <w:szCs w:val="24"/>
        </w:rPr>
        <w:t>1</w:t>
      </w:r>
      <w:bookmarkStart w:id="135" w:name="_Toc297120456"/>
      <w:bookmarkStart w:id="136" w:name="_Toc292559361"/>
      <w:bookmarkStart w:id="137" w:name="_Toc296347155"/>
      <w:bookmarkStart w:id="138" w:name="_Toc296891196"/>
      <w:bookmarkStart w:id="139" w:name="_Toc297048342"/>
      <w:bookmarkStart w:id="140" w:name="_Toc296346657"/>
      <w:bookmarkStart w:id="141" w:name="_Toc296503156"/>
      <w:bookmarkStart w:id="142" w:name="_Toc296890984"/>
      <w:bookmarkStart w:id="143" w:name="_Toc292559866"/>
      <w:bookmarkStart w:id="144" w:name="_Toc296944495"/>
      <w:r>
        <w:rPr>
          <w:rFonts w:hint="eastAsia" w:ascii="宋体" w:hAnsi="宋体" w:eastAsia="宋体" w:cs="宋体"/>
          <w:color w:val="auto"/>
          <w:sz w:val="24"/>
          <w:szCs w:val="24"/>
        </w:rPr>
        <w:t>、一般约定</w:t>
      </w:r>
      <w:bookmarkEnd w:id="134"/>
      <w:bookmarkEnd w:id="135"/>
      <w:bookmarkEnd w:id="136"/>
      <w:bookmarkEnd w:id="137"/>
      <w:bookmarkEnd w:id="138"/>
      <w:bookmarkEnd w:id="139"/>
      <w:bookmarkEnd w:id="140"/>
      <w:bookmarkEnd w:id="141"/>
      <w:bookmarkEnd w:id="142"/>
      <w:bookmarkEnd w:id="143"/>
      <w:bookmarkEnd w:id="144"/>
    </w:p>
    <w:p w14:paraId="12ED292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1.1 词语定义</w:t>
      </w:r>
    </w:p>
    <w:p w14:paraId="30566C5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1.1.1合同</w:t>
      </w:r>
    </w:p>
    <w:p w14:paraId="546CFC2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1.1.1.1其他合同文件包括：</w:t>
      </w:r>
      <w:r>
        <w:rPr>
          <w:rFonts w:hint="eastAsia" w:ascii="宋体" w:hAnsi="宋体" w:eastAsia="宋体" w:cs="宋体"/>
          <w:color w:val="auto"/>
          <w:sz w:val="24"/>
          <w:u w:val="single"/>
        </w:rPr>
        <w:t>合同履行中，发包人、承包人有关工程的洽商、变更等书面协议或文件视为本合同的组成部分</w:t>
      </w:r>
      <w:r>
        <w:rPr>
          <w:rFonts w:hint="eastAsia" w:ascii="宋体" w:hAnsi="宋体" w:eastAsia="宋体" w:cs="宋体"/>
          <w:color w:val="auto"/>
          <w:sz w:val="24"/>
        </w:rPr>
        <w:t>。</w:t>
      </w:r>
    </w:p>
    <w:p w14:paraId="76BBA3D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1.1.2 合同当事人及其他相关方</w:t>
      </w:r>
    </w:p>
    <w:p w14:paraId="51654CD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1.1.2.4监理人：</w:t>
      </w:r>
    </w:p>
    <w:p w14:paraId="626D961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名    称：</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w:t>
      </w:r>
    </w:p>
    <w:p w14:paraId="451B5EC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资质类别和等级：</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180B419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34ADABD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6E10F56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1F4D41E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1.1.2.5 设计人：</w:t>
      </w:r>
    </w:p>
    <w:p w14:paraId="416DC6F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名    称：</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1938E03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资质类别和等级：</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3BB071C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127D2ED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4EA4452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60687C1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1.1.3 工程和设备</w:t>
      </w:r>
    </w:p>
    <w:p w14:paraId="53FB99D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1.1.3.1 作为施工现场组成部分的其他场所包括：</w:t>
      </w:r>
      <w:r>
        <w:rPr>
          <w:rFonts w:hint="eastAsia" w:ascii="宋体" w:hAnsi="宋体" w:eastAsia="宋体" w:cs="宋体"/>
          <w:color w:val="auto"/>
          <w:sz w:val="24"/>
          <w:u w:val="single"/>
        </w:rPr>
        <w:t xml:space="preserve"> 临时设施及永久占地  </w:t>
      </w:r>
      <w:r>
        <w:rPr>
          <w:rFonts w:hint="eastAsia" w:ascii="宋体" w:hAnsi="宋体" w:eastAsia="宋体" w:cs="宋体"/>
          <w:color w:val="auto"/>
          <w:sz w:val="24"/>
        </w:rPr>
        <w:t>。</w:t>
      </w:r>
    </w:p>
    <w:p w14:paraId="21EB848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1.1.3.2 永久占地包括：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336C092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1.1.3.3 临时占地包括：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5385686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1.3法律 </w:t>
      </w:r>
    </w:p>
    <w:p w14:paraId="39E7BDA4">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适用于合同的其他规范性文件：</w:t>
      </w:r>
      <w:r>
        <w:rPr>
          <w:rFonts w:hint="eastAsia" w:ascii="宋体" w:hAnsi="宋体" w:eastAsia="宋体" w:cs="宋体"/>
          <w:color w:val="auto"/>
          <w:sz w:val="24"/>
          <w:u w:val="single"/>
        </w:rPr>
        <w:t>《中华人民共和国建筑法》、《中华人民共和国合同法》、《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rPr>
        <w:t>。</w:t>
      </w:r>
    </w:p>
    <w:p w14:paraId="2EBB27E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1.4 标准和规范</w:t>
      </w:r>
    </w:p>
    <w:p w14:paraId="30EB34A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1.4.1适用于工程的标准规范包括：</w:t>
      </w:r>
      <w:r>
        <w:rPr>
          <w:rFonts w:hint="eastAsia" w:ascii="宋体" w:hAnsi="宋体" w:eastAsia="宋体" w:cs="宋体"/>
          <w:color w:val="auto"/>
          <w:sz w:val="24"/>
          <w:u w:val="single"/>
        </w:rPr>
        <w:t>详见竞争性磋商文件。</w:t>
      </w:r>
    </w:p>
    <w:p w14:paraId="5C6B3DB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1.4.2 发包人提供国外标准、规范的名称：</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w:t>
      </w:r>
    </w:p>
    <w:p w14:paraId="1F9D321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发包人提供国外标准、规范的份数：</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3BCB09C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发包人提供国外标准、规范的名称：</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6F432E33">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1.4.3发包人对工程的技术标准和功能要求的特殊要求：</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w:t>
      </w:r>
    </w:p>
    <w:p w14:paraId="64D81A1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1.5 合同文件组成及优先顺序为：</w:t>
      </w:r>
    </w:p>
    <w:p w14:paraId="781FEEDB">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u w:val="single"/>
        </w:rPr>
        <w:t>(1) 合同协议书；</w:t>
      </w:r>
    </w:p>
    <w:p w14:paraId="3F167ED9">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u w:val="single"/>
        </w:rPr>
        <w:t>(2) 成交通知书；</w:t>
      </w:r>
    </w:p>
    <w:p w14:paraId="0F93C4FC">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u w:val="single"/>
        </w:rPr>
        <w:t>(3) 响应文件及其附件；</w:t>
      </w:r>
    </w:p>
    <w:p w14:paraId="29708D30">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u w:val="single"/>
        </w:rPr>
        <w:t>(4) 专用合同条款及其附件；</w:t>
      </w:r>
    </w:p>
    <w:p w14:paraId="3500D2FE">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u w:val="single"/>
        </w:rPr>
        <w:t>(5) 通用合同条款；</w:t>
      </w:r>
    </w:p>
    <w:p w14:paraId="454DFBCE">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u w:val="single"/>
        </w:rPr>
        <w:t>(6) 竞争性磋商文件及澄清；</w:t>
      </w:r>
    </w:p>
    <w:p w14:paraId="135B9281">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u w:val="single"/>
        </w:rPr>
        <w:t>(7) 标准、规范及有关技术文件；</w:t>
      </w:r>
    </w:p>
    <w:p w14:paraId="1B625A7A">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u w:val="single"/>
        </w:rPr>
        <w:t>(8) 图纸；</w:t>
      </w:r>
    </w:p>
    <w:p w14:paraId="39514A2C">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u w:val="single"/>
        </w:rPr>
        <w:t>(9) 工程量清单及编制说明；</w:t>
      </w:r>
    </w:p>
    <w:p w14:paraId="4C0BC9E0">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u w:val="single"/>
        </w:rPr>
        <w:t>(10) 工程量报价表（预算书）；</w:t>
      </w:r>
    </w:p>
    <w:p w14:paraId="03B30462">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u w:val="single"/>
        </w:rPr>
        <w:t>(11) 其他合同文件。</w:t>
      </w:r>
    </w:p>
    <w:p w14:paraId="224F47E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1.6 图纸和承包人文件</w:t>
      </w:r>
      <w:r>
        <w:rPr>
          <w:rFonts w:hint="eastAsia" w:ascii="宋体" w:hAnsi="宋体" w:eastAsia="宋体" w:cs="宋体"/>
          <w:color w:val="auto"/>
          <w:sz w:val="24"/>
        </w:rPr>
        <w:tab/>
      </w:r>
    </w:p>
    <w:p w14:paraId="1EA56F6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1.6.1 图纸的提供</w:t>
      </w:r>
    </w:p>
    <w:p w14:paraId="6E4C90E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发包人向承包人提供图纸的期限：</w:t>
      </w:r>
      <w:r>
        <w:rPr>
          <w:rFonts w:hint="eastAsia" w:ascii="宋体" w:hAnsi="宋体" w:eastAsia="宋体" w:cs="宋体"/>
          <w:color w:val="auto"/>
          <w:sz w:val="24"/>
          <w:u w:val="single"/>
        </w:rPr>
        <w:t>由承包人按实际施工情况提供工程照片及竣工图，</w:t>
      </w:r>
      <w:r>
        <w:rPr>
          <w:rFonts w:hint="eastAsia" w:ascii="宋体" w:hAnsi="宋体" w:eastAsia="宋体" w:cs="宋体"/>
          <w:color w:val="auto"/>
          <w:sz w:val="24"/>
        </w:rPr>
        <w:t>经发包人及总监确认后，作为竣工结算依据。</w:t>
      </w:r>
    </w:p>
    <w:p w14:paraId="1B500FF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发包人对图纸的保密要求：</w:t>
      </w:r>
      <w:r>
        <w:rPr>
          <w:rFonts w:hint="eastAsia" w:ascii="宋体" w:hAnsi="宋体" w:eastAsia="宋体" w:cs="宋体"/>
          <w:color w:val="auto"/>
          <w:sz w:val="24"/>
          <w:u w:val="single"/>
        </w:rPr>
        <w:t>未经发包人同意不得复制，不得向承包人以外的人员泄露图纸的有关内容</w:t>
      </w:r>
      <w:r>
        <w:rPr>
          <w:rFonts w:hint="eastAsia" w:ascii="宋体" w:hAnsi="宋体" w:eastAsia="宋体" w:cs="宋体"/>
          <w:color w:val="auto"/>
          <w:sz w:val="24"/>
        </w:rPr>
        <w:t>。</w:t>
      </w:r>
    </w:p>
    <w:p w14:paraId="419DA18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发包人向承包人提供图纸的数量：</w:t>
      </w:r>
      <w:r>
        <w:rPr>
          <w:rFonts w:hint="eastAsia" w:ascii="宋体" w:hAnsi="宋体" w:eastAsia="宋体" w:cs="宋体"/>
          <w:color w:val="auto"/>
          <w:sz w:val="24"/>
          <w:u w:val="single"/>
        </w:rPr>
        <w:t>肆套</w:t>
      </w:r>
      <w:r>
        <w:rPr>
          <w:rFonts w:hint="eastAsia" w:ascii="宋体" w:hAnsi="宋体" w:eastAsia="宋体" w:cs="宋体"/>
          <w:color w:val="auto"/>
          <w:sz w:val="24"/>
        </w:rPr>
        <w:t>；</w:t>
      </w:r>
    </w:p>
    <w:p w14:paraId="7FC2CAC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发包人向承包人提供图纸的内容：</w:t>
      </w:r>
      <w:r>
        <w:rPr>
          <w:rFonts w:hint="eastAsia" w:ascii="宋体" w:hAnsi="宋体" w:eastAsia="宋体" w:cs="宋体"/>
          <w:color w:val="auto"/>
          <w:sz w:val="24"/>
          <w:u w:val="single"/>
        </w:rPr>
        <w:t xml:space="preserve">施工图纸 </w:t>
      </w:r>
      <w:r>
        <w:rPr>
          <w:rFonts w:hint="eastAsia" w:ascii="宋体" w:hAnsi="宋体" w:eastAsia="宋体" w:cs="宋体"/>
          <w:color w:val="auto"/>
          <w:sz w:val="24"/>
        </w:rPr>
        <w:t>。</w:t>
      </w:r>
    </w:p>
    <w:p w14:paraId="1228950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1.6.2 承包人文件</w:t>
      </w:r>
    </w:p>
    <w:p w14:paraId="144970D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需要由承包人提供的文件，包括：</w:t>
      </w:r>
      <w:r>
        <w:rPr>
          <w:rFonts w:hint="eastAsia" w:ascii="宋体" w:hAnsi="宋体" w:eastAsia="宋体" w:cs="宋体"/>
          <w:color w:val="auto"/>
          <w:sz w:val="24"/>
          <w:u w:val="single"/>
        </w:rPr>
        <w:t>施工组织方案、施工进度计划，材料计划。已完工程量报表（含工程变更及签证预算）、承包人购材料清单、劳动力及用款计划等及发包人要求提供的其他资料；</w:t>
      </w:r>
    </w:p>
    <w:p w14:paraId="503C506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承包人提供的文件的期限为：</w:t>
      </w:r>
      <w:r>
        <w:rPr>
          <w:rFonts w:hint="eastAsia" w:ascii="宋体" w:hAnsi="宋体" w:eastAsia="宋体" w:cs="宋体"/>
          <w:color w:val="auto"/>
          <w:sz w:val="24"/>
          <w:u w:val="single"/>
        </w:rPr>
        <w:t>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4"/>
        </w:rPr>
        <w:t>；</w:t>
      </w:r>
    </w:p>
    <w:p w14:paraId="1B54A21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承包人提供的文件的数量为：</w:t>
      </w:r>
      <w:r>
        <w:rPr>
          <w:rFonts w:hint="eastAsia" w:ascii="宋体" w:hAnsi="宋体" w:eastAsia="宋体" w:cs="宋体"/>
          <w:color w:val="auto"/>
          <w:sz w:val="24"/>
          <w:u w:val="single"/>
        </w:rPr>
        <w:t>叁套</w:t>
      </w:r>
      <w:r>
        <w:rPr>
          <w:rFonts w:hint="eastAsia" w:ascii="宋体" w:hAnsi="宋体" w:eastAsia="宋体" w:cs="宋体"/>
          <w:color w:val="auto"/>
          <w:sz w:val="24"/>
        </w:rPr>
        <w:t>；</w:t>
      </w:r>
    </w:p>
    <w:p w14:paraId="2D21E09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承包人提供的文件的形式为：</w:t>
      </w:r>
      <w:r>
        <w:rPr>
          <w:rFonts w:hint="eastAsia" w:ascii="宋体" w:hAnsi="宋体" w:eastAsia="宋体" w:cs="宋体"/>
          <w:color w:val="auto"/>
          <w:sz w:val="24"/>
          <w:u w:val="single"/>
        </w:rPr>
        <w:t xml:space="preserve">书面文件 </w:t>
      </w:r>
      <w:r>
        <w:rPr>
          <w:rFonts w:hint="eastAsia" w:ascii="宋体" w:hAnsi="宋体" w:eastAsia="宋体" w:cs="宋体"/>
          <w:color w:val="auto"/>
          <w:sz w:val="24"/>
        </w:rPr>
        <w:t>；</w:t>
      </w:r>
    </w:p>
    <w:p w14:paraId="0B8E4E0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发包人审批承包人文件的期限：</w:t>
      </w:r>
      <w:r>
        <w:rPr>
          <w:rFonts w:hint="eastAsia" w:ascii="宋体" w:hAnsi="宋体" w:eastAsia="宋体" w:cs="宋体"/>
          <w:color w:val="auto"/>
          <w:sz w:val="24"/>
          <w:u w:val="single"/>
        </w:rPr>
        <w:t xml:space="preserve">收到书面文件后7日内  </w:t>
      </w:r>
      <w:r>
        <w:rPr>
          <w:rFonts w:hint="eastAsia" w:ascii="宋体" w:hAnsi="宋体" w:eastAsia="宋体" w:cs="宋体"/>
          <w:color w:val="auto"/>
          <w:sz w:val="24"/>
        </w:rPr>
        <w:t>。</w:t>
      </w:r>
    </w:p>
    <w:p w14:paraId="02E217E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1.6.3 现场图纸准备</w:t>
      </w:r>
    </w:p>
    <w:p w14:paraId="33A87D6D">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关于现场图纸准备的约定：</w:t>
      </w:r>
      <w:r>
        <w:rPr>
          <w:rFonts w:hint="eastAsia" w:ascii="宋体" w:hAnsi="宋体" w:eastAsia="宋体" w:cs="宋体"/>
          <w:color w:val="auto"/>
          <w:sz w:val="24"/>
          <w:u w:val="single"/>
        </w:rPr>
        <w:t>承包人应在施工现场保留一套完整图纸，供工程师及有关人员进行工程检查时使用</w:t>
      </w:r>
      <w:r>
        <w:rPr>
          <w:rFonts w:hint="eastAsia" w:ascii="宋体" w:hAnsi="宋体" w:eastAsia="宋体" w:cs="宋体"/>
          <w:color w:val="auto"/>
          <w:sz w:val="24"/>
        </w:rPr>
        <w:t>。</w:t>
      </w:r>
    </w:p>
    <w:p w14:paraId="49581EB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1.7 联络</w:t>
      </w:r>
    </w:p>
    <w:p w14:paraId="7AC4A4C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1.7.1发包人和承包人应当在</w:t>
      </w:r>
      <w:r>
        <w:rPr>
          <w:rFonts w:hint="eastAsia" w:ascii="宋体" w:hAnsi="宋体" w:eastAsia="宋体" w:cs="宋体"/>
          <w:color w:val="auto"/>
          <w:sz w:val="24"/>
          <w:u w:val="single"/>
        </w:rPr>
        <w:t xml:space="preserve"> 3 </w:t>
      </w:r>
      <w:r>
        <w:rPr>
          <w:rFonts w:hint="eastAsia" w:ascii="宋体" w:hAnsi="宋体" w:eastAsia="宋体" w:cs="宋体"/>
          <w:color w:val="auto"/>
          <w:sz w:val="24"/>
        </w:rPr>
        <w:t>天内将与合同有关的通知、批准、证明、证书、指示、指令、要求、请求、同意、意见、确定和决定等书面函件送达对方当事人。</w:t>
      </w:r>
    </w:p>
    <w:p w14:paraId="1DEEAB7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1.7.2 发包人接收文件的地点：</w:t>
      </w:r>
      <w:r>
        <w:rPr>
          <w:rFonts w:hint="eastAsia" w:ascii="宋体" w:hAnsi="宋体" w:eastAsia="宋体" w:cs="宋体"/>
          <w:color w:val="auto"/>
          <w:sz w:val="24"/>
          <w:u w:val="single"/>
        </w:rPr>
        <w:t xml:space="preserve">工地业主办公室  </w:t>
      </w:r>
      <w:r>
        <w:rPr>
          <w:rFonts w:hint="eastAsia" w:ascii="宋体" w:hAnsi="宋体" w:eastAsia="宋体" w:cs="宋体"/>
          <w:color w:val="auto"/>
          <w:sz w:val="24"/>
        </w:rPr>
        <w:t>；</w:t>
      </w:r>
    </w:p>
    <w:p w14:paraId="263903C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7DA19AE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承包人接收文件的地点：</w:t>
      </w:r>
      <w:r>
        <w:rPr>
          <w:rFonts w:hint="eastAsia" w:ascii="宋体" w:hAnsi="宋体" w:eastAsia="宋体" w:cs="宋体"/>
          <w:color w:val="auto"/>
          <w:sz w:val="24"/>
          <w:u w:val="single"/>
        </w:rPr>
        <w:t xml:space="preserve">工地承包人项目部 </w:t>
      </w:r>
      <w:r>
        <w:rPr>
          <w:rFonts w:hint="eastAsia" w:ascii="宋体" w:hAnsi="宋体" w:eastAsia="宋体" w:cs="宋体"/>
          <w:color w:val="auto"/>
          <w:sz w:val="24"/>
        </w:rPr>
        <w:t>；</w:t>
      </w:r>
    </w:p>
    <w:p w14:paraId="23F3D62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w:t>
      </w:r>
    </w:p>
    <w:p w14:paraId="6876460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监理人接收文件的地点：</w:t>
      </w:r>
      <w:r>
        <w:rPr>
          <w:rFonts w:hint="eastAsia" w:ascii="宋体" w:hAnsi="宋体" w:eastAsia="宋体" w:cs="宋体"/>
          <w:color w:val="auto"/>
          <w:sz w:val="24"/>
          <w:u w:val="single"/>
        </w:rPr>
        <w:t>工地监理部办公室</w:t>
      </w:r>
      <w:r>
        <w:rPr>
          <w:rFonts w:hint="eastAsia" w:ascii="宋体" w:hAnsi="宋体" w:eastAsia="宋体" w:cs="宋体"/>
          <w:color w:val="auto"/>
          <w:sz w:val="24"/>
        </w:rPr>
        <w:t>；</w:t>
      </w:r>
    </w:p>
    <w:p w14:paraId="7A14079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监理人指定的接收人为：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279A0C4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1.8 交通运输</w:t>
      </w:r>
    </w:p>
    <w:p w14:paraId="4EB480E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w:t>
      </w:r>
      <w:bookmarkStart w:id="145" w:name="_Toc312677986"/>
      <w:bookmarkStart w:id="146" w:name="_Toc318581155"/>
      <w:bookmarkStart w:id="147" w:name="_Toc303539100"/>
      <w:bookmarkStart w:id="148" w:name="_Toc304295521"/>
      <w:bookmarkStart w:id="149" w:name="_Toc300934943"/>
      <w:r>
        <w:rPr>
          <w:rFonts w:hint="eastAsia" w:ascii="宋体" w:hAnsi="宋体" w:eastAsia="宋体" w:cs="宋体"/>
          <w:color w:val="auto"/>
          <w:sz w:val="24"/>
        </w:rPr>
        <w:t>.8.1 出入现场的权利</w:t>
      </w:r>
    </w:p>
    <w:p w14:paraId="6F92E11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关于出入现场的权利的约定：</w:t>
      </w:r>
      <w:r>
        <w:rPr>
          <w:rFonts w:hint="eastAsia" w:ascii="宋体" w:hAnsi="宋体" w:eastAsia="宋体" w:cs="宋体"/>
          <w:color w:val="auto"/>
          <w:sz w:val="24"/>
          <w:u w:val="single"/>
        </w:rPr>
        <w:t xml:space="preserve">由承包人统一管理 </w:t>
      </w:r>
      <w:r>
        <w:rPr>
          <w:rFonts w:hint="eastAsia" w:ascii="宋体" w:hAnsi="宋体" w:eastAsia="宋体" w:cs="宋体"/>
          <w:color w:val="auto"/>
          <w:sz w:val="24"/>
        </w:rPr>
        <w:t>。</w:t>
      </w:r>
      <w:bookmarkEnd w:id="145"/>
      <w:bookmarkEnd w:id="146"/>
      <w:bookmarkEnd w:id="147"/>
      <w:bookmarkEnd w:id="148"/>
      <w:bookmarkEnd w:id="149"/>
    </w:p>
    <w:p w14:paraId="69F41EC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w:t>
      </w:r>
      <w:bookmarkStart w:id="150" w:name="_Toc303539101"/>
      <w:bookmarkStart w:id="151" w:name="_Toc300934944"/>
      <w:bookmarkStart w:id="152" w:name="_Toc312677987"/>
      <w:bookmarkStart w:id="153" w:name="_Toc318581156"/>
      <w:bookmarkStart w:id="154" w:name="_Toc304295522"/>
      <w:r>
        <w:rPr>
          <w:rFonts w:hint="eastAsia" w:ascii="宋体" w:hAnsi="宋体" w:eastAsia="宋体" w:cs="宋体"/>
          <w:color w:val="auto"/>
          <w:sz w:val="24"/>
        </w:rPr>
        <w:t>.8.2 场内交通</w:t>
      </w:r>
    </w:p>
    <w:p w14:paraId="7755C6E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关于场外交通和场内交通的边界的约定：</w:t>
      </w:r>
      <w:r>
        <w:rPr>
          <w:rFonts w:hint="eastAsia" w:ascii="宋体" w:hAnsi="宋体" w:eastAsia="宋体" w:cs="宋体"/>
          <w:color w:val="auto"/>
          <w:sz w:val="24"/>
          <w:u w:val="single"/>
        </w:rPr>
        <w:t>无</w:t>
      </w:r>
      <w:r>
        <w:rPr>
          <w:rFonts w:hint="eastAsia" w:ascii="宋体" w:hAnsi="宋体" w:eastAsia="宋体" w:cs="宋体"/>
          <w:color w:val="auto"/>
          <w:sz w:val="24"/>
        </w:rPr>
        <w:t>。</w:t>
      </w:r>
    </w:p>
    <w:p w14:paraId="28AAD79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关于发包人向承包人免费提供满足工程施工需要的场内道路和交通设施的约定：</w:t>
      </w:r>
      <w:r>
        <w:rPr>
          <w:rFonts w:hint="eastAsia" w:ascii="宋体" w:hAnsi="宋体" w:eastAsia="宋体" w:cs="宋体"/>
          <w:color w:val="auto"/>
          <w:sz w:val="24"/>
          <w:u w:val="single"/>
        </w:rPr>
        <w:t xml:space="preserve">现状 </w:t>
      </w:r>
      <w:r>
        <w:rPr>
          <w:rFonts w:hint="eastAsia" w:ascii="宋体" w:hAnsi="宋体" w:eastAsia="宋体" w:cs="宋体"/>
          <w:color w:val="auto"/>
          <w:sz w:val="24"/>
        </w:rPr>
        <w:t>。</w:t>
      </w:r>
      <w:bookmarkEnd w:id="150"/>
      <w:bookmarkEnd w:id="151"/>
      <w:bookmarkEnd w:id="152"/>
      <w:bookmarkEnd w:id="153"/>
      <w:bookmarkEnd w:id="154"/>
      <w:r>
        <w:rPr>
          <w:rFonts w:hint="eastAsia" w:ascii="宋体" w:hAnsi="宋体" w:eastAsia="宋体" w:cs="宋体"/>
          <w:color w:val="auto"/>
          <w:sz w:val="24"/>
        </w:rPr>
        <w:t xml:space="preserve">  </w:t>
      </w:r>
      <w:bookmarkStart w:id="155" w:name="_Toc318581157"/>
    </w:p>
    <w:p w14:paraId="09483C2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1.8.3超大件和超重件的运输</w:t>
      </w:r>
    </w:p>
    <w:p w14:paraId="41F84C2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运输超大件或超重件所需的道路和桥梁临时加固改造费用和其他有关费用由</w:t>
      </w:r>
      <w:r>
        <w:rPr>
          <w:rFonts w:hint="eastAsia" w:ascii="宋体" w:hAnsi="宋体" w:eastAsia="宋体" w:cs="宋体"/>
          <w:color w:val="auto"/>
          <w:sz w:val="24"/>
          <w:u w:val="single"/>
        </w:rPr>
        <w:t xml:space="preserve"> 承包人 </w:t>
      </w:r>
      <w:r>
        <w:rPr>
          <w:rFonts w:hint="eastAsia" w:ascii="宋体" w:hAnsi="宋体" w:eastAsia="宋体" w:cs="宋体"/>
          <w:color w:val="auto"/>
          <w:sz w:val="24"/>
        </w:rPr>
        <w:t>承担。</w:t>
      </w:r>
      <w:bookmarkEnd w:id="155"/>
    </w:p>
    <w:p w14:paraId="48FF34A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1.9 知识产权</w:t>
      </w:r>
    </w:p>
    <w:p w14:paraId="1A8ECE0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u w:val="single"/>
        </w:rPr>
        <w:t>发包人</w:t>
      </w:r>
      <w:r>
        <w:rPr>
          <w:rFonts w:hint="eastAsia" w:ascii="宋体" w:hAnsi="宋体" w:eastAsia="宋体" w:cs="宋体"/>
          <w:color w:val="auto"/>
          <w:sz w:val="24"/>
        </w:rPr>
        <w:t xml:space="preserve">。关于发包人提供的上述文件的使用限制的要求： </w:t>
      </w:r>
      <w:r>
        <w:rPr>
          <w:rFonts w:hint="eastAsia" w:ascii="宋体" w:hAnsi="宋体" w:eastAsia="宋体" w:cs="宋体"/>
          <w:color w:val="auto"/>
          <w:sz w:val="24"/>
          <w:u w:val="single"/>
        </w:rPr>
        <w:t>适用本工程、严禁外流</w:t>
      </w:r>
      <w:r>
        <w:rPr>
          <w:rFonts w:hint="eastAsia" w:ascii="宋体" w:hAnsi="宋体" w:eastAsia="宋体" w:cs="宋体"/>
          <w:color w:val="auto"/>
          <w:sz w:val="24"/>
        </w:rPr>
        <w:t>。</w:t>
      </w:r>
    </w:p>
    <w:p w14:paraId="7BCEE62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1.9.2 关于承包人为实施工程所编制文件的著作权的归属：</w:t>
      </w:r>
      <w:r>
        <w:rPr>
          <w:rFonts w:hint="eastAsia" w:ascii="宋体" w:hAnsi="宋体" w:eastAsia="宋体" w:cs="宋体"/>
          <w:color w:val="auto"/>
          <w:sz w:val="24"/>
          <w:u w:val="single"/>
        </w:rPr>
        <w:t xml:space="preserve"> 发包人</w:t>
      </w:r>
      <w:r>
        <w:rPr>
          <w:rFonts w:hint="eastAsia" w:ascii="宋体" w:hAnsi="宋体" w:eastAsia="宋体" w:cs="宋体"/>
          <w:color w:val="auto"/>
          <w:sz w:val="24"/>
        </w:rPr>
        <w:t>。</w:t>
      </w:r>
    </w:p>
    <w:p w14:paraId="614C71E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关于承包人提供的上述文件的使用限制的要求：</w:t>
      </w:r>
      <w:r>
        <w:rPr>
          <w:rFonts w:hint="eastAsia" w:ascii="宋体" w:hAnsi="宋体" w:eastAsia="宋体" w:cs="宋体"/>
          <w:color w:val="auto"/>
          <w:sz w:val="24"/>
          <w:u w:val="single"/>
        </w:rPr>
        <w:t>适用本工程、严禁外流</w:t>
      </w:r>
      <w:r>
        <w:rPr>
          <w:rFonts w:hint="eastAsia" w:ascii="宋体" w:hAnsi="宋体" w:eastAsia="宋体" w:cs="宋体"/>
          <w:color w:val="auto"/>
          <w:sz w:val="24"/>
        </w:rPr>
        <w:t>。</w:t>
      </w:r>
    </w:p>
    <w:p w14:paraId="08FD83E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1.9.3 承包人在施工过程中所采用的专利、专有技术、技术秘密的使用费的承担方式：</w:t>
      </w:r>
      <w:r>
        <w:rPr>
          <w:rFonts w:hint="eastAsia" w:ascii="宋体" w:hAnsi="宋体" w:eastAsia="宋体" w:cs="宋体"/>
          <w:color w:val="auto"/>
          <w:sz w:val="24"/>
          <w:u w:val="single"/>
        </w:rPr>
        <w:t>由承包人承担</w:t>
      </w:r>
      <w:r>
        <w:rPr>
          <w:rFonts w:hint="eastAsia" w:ascii="宋体" w:hAnsi="宋体" w:eastAsia="宋体" w:cs="宋体"/>
          <w:color w:val="auto"/>
          <w:sz w:val="24"/>
        </w:rPr>
        <w:t>。</w:t>
      </w:r>
    </w:p>
    <w:p w14:paraId="2078FCD1">
      <w:pPr>
        <w:pStyle w:val="5"/>
        <w:spacing w:before="0" w:after="0" w:line="360" w:lineRule="auto"/>
        <w:ind w:firstLine="482"/>
        <w:rPr>
          <w:rFonts w:hint="eastAsia" w:ascii="宋体" w:hAnsi="宋体" w:eastAsia="宋体" w:cs="宋体"/>
          <w:color w:val="auto"/>
          <w:sz w:val="24"/>
          <w:szCs w:val="24"/>
        </w:rPr>
      </w:pPr>
      <w:bookmarkStart w:id="156" w:name="_Toc351203634"/>
      <w:r>
        <w:rPr>
          <w:rFonts w:hint="eastAsia" w:ascii="宋体" w:hAnsi="宋体" w:eastAsia="宋体" w:cs="宋体"/>
          <w:color w:val="auto"/>
          <w:sz w:val="24"/>
          <w:szCs w:val="24"/>
        </w:rPr>
        <w:t>2</w:t>
      </w:r>
      <w:bookmarkStart w:id="157" w:name="_Toc296890985"/>
      <w:bookmarkStart w:id="158" w:name="_Toc292559867"/>
      <w:bookmarkStart w:id="159" w:name="_Toc297048343"/>
      <w:bookmarkStart w:id="160" w:name="_Toc292559362"/>
      <w:bookmarkStart w:id="161" w:name="_Toc297120457"/>
      <w:bookmarkStart w:id="162" w:name="_Toc296346658"/>
      <w:bookmarkStart w:id="163" w:name="_Toc296891197"/>
      <w:bookmarkStart w:id="164" w:name="_Toc296944496"/>
      <w:bookmarkStart w:id="165" w:name="_Toc296347156"/>
      <w:bookmarkStart w:id="166" w:name="_Toc296503157"/>
      <w:r>
        <w:rPr>
          <w:rFonts w:hint="eastAsia" w:ascii="宋体" w:hAnsi="宋体" w:eastAsia="宋体" w:cs="宋体"/>
          <w:color w:val="auto"/>
          <w:sz w:val="24"/>
          <w:szCs w:val="24"/>
        </w:rPr>
        <w:t>、发包人</w:t>
      </w:r>
      <w:bookmarkEnd w:id="156"/>
      <w:bookmarkEnd w:id="157"/>
      <w:bookmarkEnd w:id="158"/>
      <w:bookmarkEnd w:id="159"/>
      <w:bookmarkEnd w:id="160"/>
      <w:bookmarkEnd w:id="161"/>
      <w:bookmarkEnd w:id="162"/>
      <w:bookmarkEnd w:id="163"/>
      <w:bookmarkEnd w:id="164"/>
      <w:bookmarkEnd w:id="165"/>
      <w:bookmarkEnd w:id="166"/>
    </w:p>
    <w:p w14:paraId="460E11E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2.1 发包人代表</w:t>
      </w:r>
    </w:p>
    <w:p w14:paraId="539AC9D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发包人代表：</w:t>
      </w:r>
    </w:p>
    <w:p w14:paraId="52A0AE6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4BDA4AC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3C23336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662FE52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626C009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356F68C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0D8D3248">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发包人对发包人代表的授权范围如下：</w:t>
      </w:r>
      <w:r>
        <w:rPr>
          <w:rFonts w:hint="eastAsia" w:ascii="宋体" w:hAnsi="宋体" w:eastAsia="宋体" w:cs="宋体"/>
          <w:color w:val="auto"/>
          <w:sz w:val="24"/>
          <w:u w:val="single"/>
        </w:rPr>
        <w:t>负责本工程项目的管理、协调、控制，保证</w:t>
      </w:r>
      <w:r>
        <w:rPr>
          <w:rFonts w:hint="eastAsia" w:ascii="宋体" w:hAnsi="宋体" w:eastAsia="宋体" w:cs="宋体"/>
          <w:color w:val="auto"/>
          <w:sz w:val="24"/>
        </w:rPr>
        <w:t>合同的全面落实，施工中有关情况的上报，业主指令的下达，相关问题的处理。</w:t>
      </w:r>
    </w:p>
    <w:p w14:paraId="4CB7B6C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2.2 施工现场、施工条件和基础资料的提供：（发包人应按约定的时间和要求完成以下工作）</w:t>
      </w:r>
    </w:p>
    <w:p w14:paraId="42BA120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2.2.1 提供施工现场</w:t>
      </w:r>
    </w:p>
    <w:p w14:paraId="31B83BA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关于发包人移交施工现场的期限要求：</w:t>
      </w:r>
      <w:r>
        <w:rPr>
          <w:rFonts w:hint="eastAsia" w:ascii="宋体" w:hAnsi="宋体" w:eastAsia="宋体" w:cs="宋体"/>
          <w:color w:val="auto"/>
          <w:sz w:val="24"/>
          <w:u w:val="single"/>
        </w:rPr>
        <w:t>已具备</w:t>
      </w:r>
      <w:r>
        <w:rPr>
          <w:rFonts w:hint="eastAsia" w:ascii="宋体" w:hAnsi="宋体" w:eastAsia="宋体" w:cs="宋体"/>
          <w:color w:val="auto"/>
          <w:sz w:val="24"/>
        </w:rPr>
        <w:t>。</w:t>
      </w:r>
    </w:p>
    <w:p w14:paraId="66C1FFF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2.2.2 提供施工条件</w:t>
      </w:r>
    </w:p>
    <w:p w14:paraId="0D07EE32">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关于发包人应负责提供施工所需要的条件，包括：</w:t>
      </w:r>
      <w:r>
        <w:rPr>
          <w:rFonts w:hint="eastAsia" w:ascii="宋体" w:hAnsi="宋体" w:eastAsia="宋体" w:cs="宋体"/>
          <w:color w:val="auto"/>
          <w:sz w:val="24"/>
          <w:u w:val="single"/>
        </w:rPr>
        <w:t>由承包人考察现场自行解决，承包人负责施工现场的清障工作，负责安装水电的计量表具，水电费用自理。</w:t>
      </w:r>
    </w:p>
    <w:p w14:paraId="5311E3E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⑴施工场地具备施工条件的要求及完成的时间：</w:t>
      </w:r>
      <w:r>
        <w:rPr>
          <w:rFonts w:hint="eastAsia" w:ascii="宋体" w:hAnsi="宋体" w:eastAsia="宋体" w:cs="宋体"/>
          <w:color w:val="auto"/>
          <w:sz w:val="24"/>
          <w:u w:val="single"/>
        </w:rPr>
        <w:t>已具备</w:t>
      </w:r>
      <w:r>
        <w:rPr>
          <w:rFonts w:hint="eastAsia" w:ascii="宋体" w:hAnsi="宋体" w:eastAsia="宋体" w:cs="宋体"/>
          <w:color w:val="auto"/>
          <w:sz w:val="24"/>
        </w:rPr>
        <w:t>。</w:t>
      </w:r>
    </w:p>
    <w:p w14:paraId="55B75E32">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⑵将施工所需的水、电、电讯线路接至施工场地的时间地点和供应要求：</w:t>
      </w:r>
      <w:r>
        <w:rPr>
          <w:rFonts w:hint="eastAsia" w:ascii="宋体" w:hAnsi="宋体" w:eastAsia="宋体" w:cs="宋体"/>
          <w:color w:val="auto"/>
          <w:sz w:val="24"/>
          <w:u w:val="single"/>
        </w:rPr>
        <w:t>由承包人考察现场自行解决，负责安装水电的计量表具，水电费用自理。</w:t>
      </w:r>
    </w:p>
    <w:p w14:paraId="0A1220F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⑶施工场地与公共道路的通道开通时间和要求：</w:t>
      </w:r>
      <w:r>
        <w:rPr>
          <w:rFonts w:hint="eastAsia" w:ascii="宋体" w:hAnsi="宋体" w:eastAsia="宋体" w:cs="宋体"/>
          <w:color w:val="auto"/>
          <w:sz w:val="24"/>
          <w:u w:val="single"/>
        </w:rPr>
        <w:t>已开通</w:t>
      </w:r>
      <w:r>
        <w:rPr>
          <w:rFonts w:hint="eastAsia" w:ascii="宋体" w:hAnsi="宋体" w:eastAsia="宋体" w:cs="宋体"/>
          <w:color w:val="auto"/>
          <w:sz w:val="24"/>
        </w:rPr>
        <w:t>。</w:t>
      </w:r>
    </w:p>
    <w:p w14:paraId="38737CC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⑷工程地质和地下管线资料的提供时间：</w:t>
      </w:r>
      <w:r>
        <w:rPr>
          <w:rFonts w:hint="eastAsia" w:ascii="宋体" w:hAnsi="宋体" w:eastAsia="宋体" w:cs="宋体"/>
          <w:color w:val="auto"/>
          <w:sz w:val="24"/>
          <w:u w:val="single"/>
        </w:rPr>
        <w:t xml:space="preserve">  承包人进场施工前  </w:t>
      </w:r>
      <w:r>
        <w:rPr>
          <w:rFonts w:hint="eastAsia" w:ascii="宋体" w:hAnsi="宋体" w:eastAsia="宋体" w:cs="宋体"/>
          <w:color w:val="auto"/>
          <w:sz w:val="24"/>
        </w:rPr>
        <w:t>。</w:t>
      </w:r>
    </w:p>
    <w:p w14:paraId="5F441F4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⑸由发包人办理的施工所需证件、批件的名称和完成时间：</w:t>
      </w:r>
      <w:r>
        <w:rPr>
          <w:rFonts w:hint="eastAsia" w:ascii="宋体" w:hAnsi="宋体" w:eastAsia="宋体" w:cs="宋体"/>
          <w:color w:val="auto"/>
          <w:sz w:val="24"/>
          <w:u w:val="single"/>
        </w:rPr>
        <w:t>开工前办妥相关开工手续</w:t>
      </w:r>
      <w:r>
        <w:rPr>
          <w:rFonts w:hint="eastAsia" w:ascii="宋体" w:hAnsi="宋体" w:eastAsia="宋体" w:cs="宋体"/>
          <w:color w:val="auto"/>
          <w:sz w:val="24"/>
        </w:rPr>
        <w:t>。</w:t>
      </w:r>
    </w:p>
    <w:p w14:paraId="4D71F4C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⑹水准点、座标控制点交验要求：</w:t>
      </w:r>
      <w:r>
        <w:rPr>
          <w:rFonts w:hint="eastAsia" w:ascii="宋体" w:hAnsi="宋体" w:eastAsia="宋体" w:cs="宋体"/>
          <w:color w:val="auto"/>
          <w:sz w:val="24"/>
          <w:u w:val="single"/>
        </w:rPr>
        <w:t>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rPr>
        <w:t>。</w:t>
      </w:r>
    </w:p>
    <w:p w14:paraId="0F23EB9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⑺图纸会审和设计交底时间：</w:t>
      </w:r>
      <w:r>
        <w:rPr>
          <w:rFonts w:hint="eastAsia" w:ascii="宋体" w:hAnsi="宋体" w:eastAsia="宋体" w:cs="宋体"/>
          <w:color w:val="auto"/>
          <w:sz w:val="24"/>
          <w:u w:val="single"/>
        </w:rPr>
        <w:t>开工前一日</w:t>
      </w:r>
      <w:r>
        <w:rPr>
          <w:rFonts w:hint="eastAsia" w:ascii="宋体" w:hAnsi="宋体" w:eastAsia="宋体" w:cs="宋体"/>
          <w:color w:val="auto"/>
          <w:sz w:val="24"/>
        </w:rPr>
        <w:t>。</w:t>
      </w:r>
    </w:p>
    <w:p w14:paraId="6C7FC10F">
      <w:pPr>
        <w:pStyle w:val="281"/>
        <w:spacing w:line="360" w:lineRule="auto"/>
        <w:ind w:left="0" w:firstLine="480"/>
        <w:rPr>
          <w:rFonts w:hint="eastAsia" w:ascii="宋体" w:hAnsi="宋体" w:eastAsia="宋体" w:cs="宋体"/>
          <w:color w:val="auto"/>
          <w:spacing w:val="6"/>
          <w:sz w:val="24"/>
          <w:szCs w:val="24"/>
          <w:u w:val="single"/>
        </w:rPr>
      </w:pPr>
      <w:r>
        <w:rPr>
          <w:rFonts w:hint="eastAsia" w:ascii="宋体" w:hAnsi="宋体" w:eastAsia="宋体" w:cs="宋体"/>
          <w:color w:val="auto"/>
          <w:sz w:val="24"/>
          <w:szCs w:val="24"/>
        </w:rPr>
        <w:t>⑻协调处理施工现场周围地下管线和邻近建筑物、构筑物的保护工作：</w:t>
      </w:r>
      <w:r>
        <w:rPr>
          <w:rFonts w:hint="eastAsia" w:ascii="宋体" w:hAnsi="宋体" w:eastAsia="宋体" w:cs="宋体"/>
          <w:color w:val="auto"/>
          <w:sz w:val="24"/>
          <w:szCs w:val="24"/>
          <w:u w:val="single"/>
        </w:rPr>
        <w:t>由发包人会同承包人负责做好保护工作，承包人如在施工中发现问题应及时报告发包人、设计院及监理，由发包人会同有关部门出具解决方案。费用双方协商解决。</w:t>
      </w:r>
    </w:p>
    <w:p w14:paraId="39C8FDB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⑼双方约定发包人应做的其他工作：</w:t>
      </w:r>
      <w:r>
        <w:rPr>
          <w:rFonts w:hint="eastAsia" w:ascii="宋体" w:hAnsi="宋体" w:eastAsia="宋体" w:cs="宋体"/>
          <w:color w:val="auto"/>
          <w:sz w:val="24"/>
          <w:u w:val="single"/>
        </w:rPr>
        <w:t xml:space="preserve">     无     </w:t>
      </w:r>
    </w:p>
    <w:p w14:paraId="17A0131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（10）发包人委托承包人办理的工作：</w:t>
      </w:r>
      <w:r>
        <w:rPr>
          <w:rFonts w:hint="eastAsia" w:ascii="宋体" w:hAnsi="宋体" w:eastAsia="宋体" w:cs="宋体"/>
          <w:color w:val="auto"/>
          <w:sz w:val="24"/>
          <w:u w:val="single"/>
        </w:rPr>
        <w:t xml:space="preserve">双方视现场情况协商办理。       </w:t>
      </w:r>
    </w:p>
    <w:p w14:paraId="1462239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2.3 资金来源证明及支付担保：</w:t>
      </w:r>
    </w:p>
    <w:p w14:paraId="77959D8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发包人提供资金来源证明的期限要求：</w:t>
      </w:r>
      <w:r>
        <w:rPr>
          <w:rFonts w:hint="eastAsia" w:ascii="宋体" w:hAnsi="宋体" w:eastAsia="宋体" w:cs="宋体"/>
          <w:color w:val="auto"/>
          <w:sz w:val="24"/>
          <w:u w:val="single"/>
        </w:rPr>
        <w:t xml:space="preserve">无 </w:t>
      </w:r>
      <w:r>
        <w:rPr>
          <w:rFonts w:hint="eastAsia" w:ascii="宋体" w:hAnsi="宋体" w:eastAsia="宋体" w:cs="宋体"/>
          <w:color w:val="auto"/>
          <w:sz w:val="24"/>
        </w:rPr>
        <w:t>。</w:t>
      </w:r>
    </w:p>
    <w:p w14:paraId="6C57F65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发包人是否提供支付担保：</w:t>
      </w:r>
      <w:r>
        <w:rPr>
          <w:rFonts w:hint="eastAsia" w:ascii="宋体" w:hAnsi="宋体" w:eastAsia="宋体" w:cs="宋体"/>
          <w:color w:val="auto"/>
          <w:sz w:val="24"/>
          <w:u w:val="single"/>
        </w:rPr>
        <w:t xml:space="preserve">不提供 </w:t>
      </w:r>
      <w:r>
        <w:rPr>
          <w:rFonts w:hint="eastAsia" w:ascii="宋体" w:hAnsi="宋体" w:eastAsia="宋体" w:cs="宋体"/>
          <w:color w:val="auto"/>
          <w:sz w:val="24"/>
        </w:rPr>
        <w:t>。</w:t>
      </w:r>
      <w:bookmarkStart w:id="167" w:name="_Toc304295527"/>
      <w:bookmarkStart w:id="168" w:name="_Toc318581164"/>
      <w:bookmarkStart w:id="169" w:name="_Toc297216155"/>
      <w:bookmarkStart w:id="170" w:name="_Toc297123496"/>
      <w:bookmarkStart w:id="171" w:name="_Toc303539106"/>
      <w:bookmarkStart w:id="172" w:name="_Toc300934949"/>
      <w:bookmarkStart w:id="173" w:name="_Toc312677997"/>
      <w:bookmarkStart w:id="174" w:name="_Toc296346664"/>
      <w:bookmarkStart w:id="175" w:name="_Toc296891203"/>
      <w:bookmarkStart w:id="176" w:name="_Toc292559872"/>
      <w:bookmarkStart w:id="177" w:name="_Toc296347162"/>
      <w:bookmarkStart w:id="178" w:name="_Toc296503163"/>
      <w:bookmarkStart w:id="179" w:name="_Toc296944502"/>
      <w:bookmarkStart w:id="180" w:name="_Toc296890991"/>
      <w:bookmarkStart w:id="181" w:name="_Toc297120463"/>
      <w:bookmarkStart w:id="182" w:name="_Toc297048349"/>
      <w:bookmarkStart w:id="183" w:name="_Toc292559367"/>
    </w:p>
    <w:p w14:paraId="38B02BFF">
      <w:pPr>
        <w:pStyle w:val="5"/>
        <w:spacing w:before="0" w:after="0" w:line="360" w:lineRule="auto"/>
        <w:ind w:firstLine="482"/>
        <w:rPr>
          <w:rFonts w:hint="eastAsia" w:ascii="宋体" w:hAnsi="宋体" w:eastAsia="宋体" w:cs="宋体"/>
          <w:color w:val="auto"/>
          <w:sz w:val="24"/>
          <w:szCs w:val="24"/>
        </w:rPr>
      </w:pPr>
      <w:bookmarkStart w:id="184" w:name="_Toc351203635"/>
      <w:bookmarkStart w:id="185" w:name="_Toc351203638"/>
      <w:r>
        <w:rPr>
          <w:rFonts w:hint="eastAsia" w:ascii="宋体" w:hAnsi="宋体" w:eastAsia="宋体" w:cs="宋体"/>
          <w:color w:val="auto"/>
          <w:sz w:val="24"/>
          <w:szCs w:val="24"/>
        </w:rPr>
        <w:t>3</w:t>
      </w:r>
      <w:bookmarkStart w:id="186" w:name="_Toc296890986"/>
      <w:bookmarkStart w:id="187" w:name="_Toc296503158"/>
      <w:bookmarkStart w:id="188" w:name="_Toc296347157"/>
      <w:bookmarkStart w:id="189" w:name="_Toc296944497"/>
      <w:bookmarkStart w:id="190" w:name="_Toc292559363"/>
      <w:bookmarkStart w:id="191" w:name="_Toc297048344"/>
      <w:bookmarkStart w:id="192" w:name="_Toc292559868"/>
      <w:bookmarkStart w:id="193" w:name="_Toc296891198"/>
      <w:bookmarkStart w:id="194" w:name="_Toc296346659"/>
      <w:bookmarkStart w:id="195" w:name="_Toc297120458"/>
      <w:r>
        <w:rPr>
          <w:rFonts w:hint="eastAsia" w:ascii="宋体" w:hAnsi="宋体" w:eastAsia="宋体" w:cs="宋体"/>
          <w:color w:val="auto"/>
          <w:sz w:val="24"/>
          <w:szCs w:val="24"/>
        </w:rPr>
        <w:t>、承包人</w:t>
      </w:r>
      <w:bookmarkEnd w:id="184"/>
      <w:bookmarkEnd w:id="186"/>
      <w:bookmarkEnd w:id="187"/>
      <w:bookmarkEnd w:id="188"/>
      <w:bookmarkEnd w:id="189"/>
      <w:bookmarkEnd w:id="190"/>
      <w:bookmarkEnd w:id="191"/>
      <w:bookmarkEnd w:id="192"/>
      <w:bookmarkEnd w:id="193"/>
      <w:bookmarkEnd w:id="194"/>
      <w:bookmarkEnd w:id="195"/>
    </w:p>
    <w:p w14:paraId="5F7296C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3.1 承包人的一般义务</w:t>
      </w:r>
    </w:p>
    <w:p w14:paraId="1A10B22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承包人应按约定的时间和要求完成以下工作：</w:t>
      </w:r>
    </w:p>
    <w:p w14:paraId="2CCAFB46">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⑴需由设计资质等级和业务范围允许的承包人完成的设计文件提交时间：</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w:t>
      </w:r>
    </w:p>
    <w:p w14:paraId="2E60DC2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⑵应提供计划、报表的名称和完成时间：</w:t>
      </w:r>
    </w:p>
    <w:p w14:paraId="44361F1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p>
    <w:p w14:paraId="4A57CED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⑶承担施工安全保卫工作及非夜间施工照明的责任和要求：</w:t>
      </w:r>
      <w:r>
        <w:rPr>
          <w:rFonts w:hint="eastAsia" w:ascii="宋体" w:hAnsi="宋体" w:eastAsia="宋体" w:cs="宋体"/>
          <w:color w:val="auto"/>
          <w:sz w:val="24"/>
          <w:u w:val="single"/>
        </w:rPr>
        <w:t>安全保卫工作由承包人负责实施，费用自理；非夜间照明由承包人负责，费用自理</w:t>
      </w:r>
      <w:r>
        <w:rPr>
          <w:rFonts w:hint="eastAsia" w:ascii="宋体" w:hAnsi="宋体" w:eastAsia="宋体" w:cs="宋体"/>
          <w:color w:val="auto"/>
          <w:sz w:val="24"/>
        </w:rPr>
        <w:t>。</w:t>
      </w:r>
    </w:p>
    <w:p w14:paraId="0C40E05A">
      <w:pPr>
        <w:spacing w:line="360" w:lineRule="auto"/>
        <w:ind w:firstLine="480"/>
        <w:rPr>
          <w:rFonts w:hint="eastAsia" w:ascii="宋体" w:hAnsi="宋体" w:eastAsia="宋体" w:cs="宋体"/>
          <w:color w:val="auto"/>
          <w:spacing w:val="4"/>
          <w:sz w:val="24"/>
          <w:u w:val="single"/>
        </w:rPr>
      </w:pPr>
      <w:r>
        <w:rPr>
          <w:rFonts w:hint="eastAsia" w:ascii="宋体" w:hAnsi="宋体" w:eastAsia="宋体" w:cs="宋体"/>
          <w:color w:val="auto"/>
          <w:sz w:val="24"/>
        </w:rPr>
        <w:t>⑷向发包人提供的办公和生活房屋及设施的要求：</w:t>
      </w:r>
      <w:r>
        <w:rPr>
          <w:rFonts w:hint="eastAsia" w:ascii="宋体" w:hAnsi="宋体" w:eastAsia="宋体" w:cs="宋体"/>
          <w:color w:val="auto"/>
          <w:sz w:val="24"/>
          <w:u w:val="single"/>
        </w:rPr>
        <w:t>执行通用条款（根据现场情况定）。</w:t>
      </w:r>
    </w:p>
    <w:p w14:paraId="4F4EDF2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⑸需承包人办理的有关施工场地交通、环卫和施工噪音管理等手续：</w:t>
      </w:r>
      <w:r>
        <w:rPr>
          <w:rFonts w:hint="eastAsia" w:ascii="宋体" w:hAnsi="宋体" w:eastAsia="宋体" w:cs="宋体"/>
          <w:color w:val="auto"/>
          <w:sz w:val="24"/>
          <w:u w:val="single"/>
        </w:rPr>
        <w:t>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rPr>
        <w:t>。</w:t>
      </w:r>
    </w:p>
    <w:p w14:paraId="7FF8B59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⑹已完工程成品保护的特殊要求及费用承担：</w:t>
      </w:r>
      <w:r>
        <w:rPr>
          <w:rFonts w:hint="eastAsia" w:ascii="宋体" w:hAnsi="宋体" w:eastAsia="宋体" w:cs="宋体"/>
          <w:color w:val="auto"/>
          <w:sz w:val="24"/>
          <w:u w:val="single"/>
        </w:rPr>
        <w:t>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rPr>
        <w:t>。</w:t>
      </w:r>
    </w:p>
    <w:p w14:paraId="0433F825">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⑺施工场地周围地下管线和邻近建筑物、构筑物（含文物保护建筑）、古树名木的保护要求及费用承担：</w:t>
      </w:r>
      <w:r>
        <w:rPr>
          <w:rFonts w:hint="eastAsia" w:ascii="宋体" w:hAnsi="宋体" w:eastAsia="宋体" w:cs="宋体"/>
          <w:color w:val="auto"/>
          <w:sz w:val="24"/>
          <w:u w:val="single"/>
        </w:rPr>
        <w:t>如发现地下管线、文物等，因承包方原因造成破坏的，承包方必须无条件及时修复，并承担由此发生的全部费用和责任。</w:t>
      </w:r>
    </w:p>
    <w:p w14:paraId="0C3DEBC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⑻施工场地清洁卫生的要求：</w:t>
      </w:r>
      <w:r>
        <w:rPr>
          <w:rFonts w:hint="eastAsia" w:ascii="宋体" w:hAnsi="宋体" w:eastAsia="宋体" w:cs="宋体"/>
          <w:color w:val="auto"/>
          <w:sz w:val="24"/>
          <w:u w:val="single"/>
        </w:rPr>
        <w:t>按标准化施工现场要求办理，交工前清理现场，垃圾外运，费用由施工单位自理。</w:t>
      </w:r>
    </w:p>
    <w:p w14:paraId="342F695C">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⑼双方约定承包人应做的其他工作：</w:t>
      </w:r>
      <w:r>
        <w:rPr>
          <w:rFonts w:hint="eastAsia" w:ascii="宋体" w:hAnsi="宋体" w:eastAsia="宋体" w:cs="宋体"/>
          <w:color w:val="auto"/>
          <w:sz w:val="24"/>
          <w:u w:val="single"/>
        </w:rPr>
        <w:t>承包人有义务对本工程图纸详细审阅，并提出合理化建议，确保施工期间尽量少发生拆除变更等浪费现象。</w:t>
      </w:r>
    </w:p>
    <w:p w14:paraId="60B1190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施工过程中与周围发生的纠纷由承包人自行协商解决，费用由施工单位自理。</w:t>
      </w:r>
    </w:p>
    <w:p w14:paraId="14A000E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承包方项目经理、项目工程师、质量员、安全员、资料员必须准时参加每周工程例会及其他业主召开的会议，对不参加会议、不住工地者采取处罚措施。</w:t>
      </w:r>
    </w:p>
    <w:p w14:paraId="4BB76DA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参加各类施工协调、配合会，对于工地交叉施工引起的问题，有义务进行配合协商解决，服从发包方及监理方现场总协调作出的决定。</w:t>
      </w:r>
    </w:p>
    <w:p w14:paraId="14152A8D">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其他</w:t>
      </w:r>
      <w:r>
        <w:rPr>
          <w:rFonts w:hint="eastAsia" w:ascii="宋体" w:hAnsi="宋体" w:eastAsia="宋体" w:cs="宋体"/>
          <w:color w:val="auto"/>
          <w:sz w:val="24"/>
          <w:u w:val="single"/>
        </w:rPr>
        <w:t>1、竣工资料符合连云港市城建档案局关于档案资料的要求；2、准时参加监理组织的每周工程例会和专题会议；3、其它事宜由双方协商另定。</w:t>
      </w:r>
    </w:p>
    <w:p w14:paraId="35EBC1D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3.2 项目经理</w:t>
      </w:r>
    </w:p>
    <w:p w14:paraId="3AB7258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3.2.1 项目经理：</w:t>
      </w:r>
    </w:p>
    <w:p w14:paraId="4651E7EA">
      <w:pPr>
        <w:spacing w:line="360" w:lineRule="auto"/>
        <w:ind w:firstLine="480"/>
        <w:rPr>
          <w:rFonts w:hint="eastAsia" w:ascii="宋体" w:hAnsi="宋体" w:eastAsia="宋体" w:cs="宋体"/>
          <w:color w:val="auto"/>
          <w:sz w:val="24"/>
          <w:lang w:val="en-US" w:eastAsia="zh-CN"/>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val="en-US" w:eastAsia="zh-CN"/>
        </w:rPr>
        <w:t xml:space="preserve"> </w:t>
      </w:r>
    </w:p>
    <w:p w14:paraId="743612F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78D4E77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建造师执业资格等级：</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25D0CBB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建造师注册证书号：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3F8EC9C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建造师执业印章号：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47A2472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安全生产考核合格证书号：</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5034E4D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7A75611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3DB9F79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5727140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承包人对项目经理的授权范围如下：</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22D25D1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关于项目经理每月在施工现场的时间要求：</w:t>
      </w:r>
      <w:r>
        <w:rPr>
          <w:rFonts w:hint="eastAsia" w:ascii="宋体" w:hAnsi="宋体" w:eastAsia="宋体" w:cs="宋体"/>
          <w:color w:val="auto"/>
          <w:sz w:val="24"/>
          <w:u w:val="single"/>
        </w:rPr>
        <w:t>项目经理在现场每日8小时以上，每周不少于5日，如有特殊情况，须提供书面请假经发包人批准</w:t>
      </w:r>
      <w:r>
        <w:rPr>
          <w:rFonts w:hint="eastAsia" w:ascii="宋体" w:hAnsi="宋体" w:eastAsia="宋体" w:cs="宋体"/>
          <w:color w:val="auto"/>
          <w:sz w:val="24"/>
        </w:rPr>
        <w:t xml:space="preserve">。 </w:t>
      </w:r>
    </w:p>
    <w:p w14:paraId="04E34FCB">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承包人未提交劳动合同，以及没有为项目经理缴纳社会保险证明的违约责任：</w:t>
      </w:r>
      <w:r>
        <w:rPr>
          <w:rFonts w:hint="eastAsia" w:ascii="宋体" w:hAnsi="宋体" w:eastAsia="宋体" w:cs="宋体"/>
          <w:color w:val="auto"/>
          <w:sz w:val="24"/>
          <w:u w:val="single"/>
        </w:rPr>
        <w:t>发包人扣除承包人的全部质保金，同时要求发包人更换项目经理，且更换后的项目经理资质等级、业绩不低于原项目经理，否则解除施工合同。</w:t>
      </w:r>
    </w:p>
    <w:p w14:paraId="15529F8A">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项目经理未经批准，擅自离开施工现场的违约责任：</w:t>
      </w:r>
      <w:r>
        <w:rPr>
          <w:rFonts w:hint="eastAsia" w:ascii="宋体" w:hAnsi="宋体" w:eastAsia="宋体" w:cs="宋体"/>
          <w:color w:val="auto"/>
          <w:sz w:val="24"/>
          <w:u w:val="single"/>
        </w:rPr>
        <w:t>发包人每发现一次项目经理擅自离开施工现场的，承包人</w:t>
      </w:r>
      <w:r>
        <w:rPr>
          <w:rFonts w:hint="eastAsia" w:ascii="宋体" w:hAnsi="宋体" w:eastAsia="宋体" w:cs="宋体"/>
          <w:b/>
          <w:color w:val="auto"/>
          <w:sz w:val="24"/>
          <w:u w:val="single"/>
        </w:rPr>
        <w:t>向发包人支付违约金</w:t>
      </w:r>
      <w:r>
        <w:rPr>
          <w:rFonts w:hint="eastAsia" w:ascii="宋体" w:hAnsi="宋体" w:cs="宋体"/>
          <w:b/>
          <w:color w:val="auto"/>
          <w:sz w:val="24"/>
          <w:u w:val="single"/>
          <w:lang w:val="en-US" w:eastAsia="zh-CN"/>
        </w:rPr>
        <w:t>1</w:t>
      </w:r>
      <w:r>
        <w:rPr>
          <w:rFonts w:hint="eastAsia" w:ascii="宋体" w:hAnsi="宋体" w:eastAsia="宋体" w:cs="宋体"/>
          <w:b/>
          <w:color w:val="auto"/>
          <w:sz w:val="24"/>
          <w:u w:val="single"/>
        </w:rPr>
        <w:t>000元，</w:t>
      </w:r>
      <w:r>
        <w:rPr>
          <w:rFonts w:hint="eastAsia" w:ascii="宋体" w:hAnsi="宋体" w:eastAsia="宋体" w:cs="宋体"/>
          <w:color w:val="auto"/>
          <w:sz w:val="24"/>
          <w:u w:val="single"/>
        </w:rPr>
        <w:t>累计发现五次项目经理擅自离开施工现场，视为承包人擅自更换项目经理；</w:t>
      </w:r>
    </w:p>
    <w:p w14:paraId="13F5373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3.2.2 承包人擅自更换项目经理的违约责任：</w:t>
      </w:r>
      <w:r>
        <w:rPr>
          <w:rFonts w:hint="eastAsia" w:ascii="宋体" w:hAnsi="宋体" w:eastAsia="宋体" w:cs="宋体"/>
          <w:color w:val="auto"/>
          <w:sz w:val="24"/>
          <w:u w:val="single"/>
        </w:rPr>
        <w:t>若承包人擅自更换项目经理，承包人</w:t>
      </w:r>
      <w:r>
        <w:rPr>
          <w:rFonts w:hint="eastAsia" w:ascii="宋体" w:hAnsi="宋体" w:eastAsia="宋体" w:cs="宋体"/>
          <w:color w:val="auto"/>
          <w:sz w:val="24"/>
          <w:u w:val="single"/>
          <w:lang w:val="en-US" w:eastAsia="zh-CN"/>
        </w:rPr>
        <w:t>罚款20000元</w:t>
      </w:r>
      <w:r>
        <w:rPr>
          <w:rFonts w:hint="eastAsia" w:ascii="宋体" w:hAnsi="宋体" w:eastAsia="宋体" w:cs="宋体"/>
          <w:color w:val="auto"/>
          <w:sz w:val="24"/>
          <w:u w:val="single"/>
        </w:rPr>
        <w:t>，同时要求承包人更换后的项目经理资质等级、业绩不低于原项目经理，否则解除施工合同</w:t>
      </w:r>
      <w:r>
        <w:rPr>
          <w:rFonts w:hint="eastAsia" w:ascii="宋体" w:hAnsi="宋体" w:eastAsia="宋体" w:cs="宋体"/>
          <w:color w:val="auto"/>
          <w:sz w:val="24"/>
        </w:rPr>
        <w:t>。</w:t>
      </w:r>
    </w:p>
    <w:p w14:paraId="36153CA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3.2.3承包人无正当理由拒绝更换项目经理的违约责任：</w:t>
      </w:r>
      <w:r>
        <w:rPr>
          <w:rFonts w:hint="eastAsia" w:ascii="宋体" w:hAnsi="宋体" w:eastAsia="宋体" w:cs="宋体"/>
          <w:color w:val="auto"/>
          <w:sz w:val="24"/>
          <w:u w:val="single"/>
        </w:rPr>
        <w:t>解除施工合同</w:t>
      </w:r>
      <w:r>
        <w:rPr>
          <w:rFonts w:hint="eastAsia" w:ascii="宋体" w:hAnsi="宋体" w:cs="宋体"/>
          <w:color w:val="auto"/>
          <w:sz w:val="24"/>
          <w:u w:val="single"/>
          <w:lang w:val="en-US" w:eastAsia="zh-CN"/>
        </w:rPr>
        <w:t>并赔偿发包人损失</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02E9168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szCs w:val="24"/>
        </w:rPr>
        <w:t>3.3 承包人人员</w:t>
      </w:r>
    </w:p>
    <w:p w14:paraId="1B20A3C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3.3.1 承包人提交项目管理机构及施工现场管理人员安排报告的期限：</w:t>
      </w:r>
      <w:r>
        <w:rPr>
          <w:rFonts w:hint="eastAsia" w:ascii="宋体" w:hAnsi="宋体" w:eastAsia="宋体" w:cs="宋体"/>
          <w:color w:val="auto"/>
          <w:sz w:val="24"/>
          <w:u w:val="single"/>
        </w:rPr>
        <w:t xml:space="preserve"> 接到开工令3天内</w:t>
      </w:r>
      <w:r>
        <w:rPr>
          <w:rFonts w:hint="eastAsia" w:ascii="宋体" w:hAnsi="宋体" w:eastAsia="宋体" w:cs="宋体"/>
          <w:color w:val="auto"/>
          <w:sz w:val="24"/>
        </w:rPr>
        <w:t>。</w:t>
      </w:r>
    </w:p>
    <w:p w14:paraId="43A418FF">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3.3.2 承包人无正当理由拒绝撤换主要施工管理人员的违约责任：</w:t>
      </w:r>
      <w:r>
        <w:rPr>
          <w:rFonts w:hint="eastAsia" w:ascii="宋体" w:hAnsi="宋体" w:eastAsia="宋体" w:cs="宋体"/>
          <w:color w:val="auto"/>
          <w:sz w:val="24"/>
          <w:u w:val="single"/>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p>
    <w:p w14:paraId="11F5301E">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3.3.3 承包人主要施工管理人员离开施工现场的批准要求：</w:t>
      </w:r>
      <w:r>
        <w:rPr>
          <w:rFonts w:hint="eastAsia" w:ascii="宋体" w:hAnsi="宋体" w:eastAsia="宋体" w:cs="宋体"/>
          <w:color w:val="auto"/>
          <w:sz w:val="24"/>
          <w:u w:val="single"/>
        </w:rPr>
        <w:t>应提前1天书面通知监理人，并征得发包人书面同意。</w:t>
      </w:r>
    </w:p>
    <w:p w14:paraId="1C15B14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3.3.4承包人擅自更换主要施工管理人员的违约责任：</w:t>
      </w:r>
      <w:r>
        <w:rPr>
          <w:rFonts w:hint="eastAsia" w:ascii="宋体" w:hAnsi="宋体" w:eastAsia="宋体" w:cs="宋体"/>
          <w:color w:val="auto"/>
          <w:sz w:val="24"/>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4"/>
        </w:rPr>
        <w:t>。</w:t>
      </w:r>
    </w:p>
    <w:p w14:paraId="7A86D41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承包人主要施工管理人员擅自离开施工现场的违约责任：</w:t>
      </w:r>
      <w:r>
        <w:rPr>
          <w:rFonts w:hint="eastAsia" w:ascii="宋体" w:hAnsi="宋体" w:eastAsia="宋体" w:cs="宋体"/>
          <w:color w:val="auto"/>
          <w:sz w:val="24"/>
          <w:u w:val="single"/>
        </w:rPr>
        <w:t>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auto"/>
          <w:sz w:val="24"/>
        </w:rPr>
        <w:t>。</w:t>
      </w:r>
    </w:p>
    <w:p w14:paraId="305338B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w:t>
      </w:r>
      <w:bookmarkStart w:id="196" w:name="_Toc304295523"/>
      <w:bookmarkStart w:id="197" w:name="_Toc296944498"/>
      <w:bookmarkStart w:id="198" w:name="_Toc296890987"/>
      <w:bookmarkStart w:id="199" w:name="_Toc296891199"/>
      <w:bookmarkStart w:id="200" w:name="_Toc296503159"/>
      <w:bookmarkStart w:id="201" w:name="_Toc292559869"/>
      <w:bookmarkStart w:id="202" w:name="_Toc292559364"/>
      <w:bookmarkStart w:id="203" w:name="_Toc297216151"/>
      <w:bookmarkStart w:id="204" w:name="_Toc312677988"/>
      <w:bookmarkStart w:id="205" w:name="_Toc303539102"/>
      <w:bookmarkStart w:id="206" w:name="_Toc297120459"/>
      <w:bookmarkStart w:id="207" w:name="_Toc300934945"/>
      <w:bookmarkStart w:id="208" w:name="_Toc297048345"/>
      <w:bookmarkStart w:id="209" w:name="_Toc297123492"/>
      <w:bookmarkStart w:id="210" w:name="_Toc296346660"/>
      <w:bookmarkStart w:id="211" w:name="_Toc296347158"/>
      <w:r>
        <w:rPr>
          <w:rFonts w:hint="eastAsia" w:ascii="宋体" w:hAnsi="宋体" w:eastAsia="宋体" w:cs="宋体"/>
          <w:color w:val="auto"/>
          <w:sz w:val="24"/>
        </w:rPr>
        <w:t>.4 分包</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14:paraId="0D5FA1F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w:t>
      </w:r>
      <w:bookmarkStart w:id="212" w:name="_Toc292559365"/>
      <w:bookmarkStart w:id="213" w:name="_Toc297123493"/>
      <w:bookmarkStart w:id="214" w:name="_Toc296346661"/>
      <w:bookmarkStart w:id="215" w:name="_Toc296503160"/>
      <w:bookmarkStart w:id="216" w:name="_Toc300934946"/>
      <w:bookmarkStart w:id="217" w:name="_Toc297120460"/>
      <w:bookmarkStart w:id="218" w:name="_Toc297216152"/>
      <w:bookmarkStart w:id="219" w:name="_Toc292559870"/>
      <w:bookmarkStart w:id="220" w:name="_Toc312677989"/>
      <w:bookmarkStart w:id="221" w:name="_Toc296890988"/>
      <w:bookmarkStart w:id="222" w:name="_Toc297048346"/>
      <w:bookmarkStart w:id="223" w:name="_Toc296347159"/>
      <w:bookmarkStart w:id="224" w:name="_Toc296944499"/>
      <w:bookmarkStart w:id="225" w:name="_Toc304295524"/>
      <w:bookmarkStart w:id="226" w:name="_Toc303539103"/>
      <w:bookmarkStart w:id="227" w:name="_Toc296891200"/>
      <w:bookmarkStart w:id="228" w:name="_Toc318581158"/>
      <w:r>
        <w:rPr>
          <w:rFonts w:hint="eastAsia" w:ascii="宋体" w:hAnsi="宋体" w:eastAsia="宋体" w:cs="宋体"/>
          <w:color w:val="auto"/>
          <w:sz w:val="24"/>
        </w:rPr>
        <w:t>.4.1 分包的一般约定</w:t>
      </w:r>
    </w:p>
    <w:p w14:paraId="5F9DCCFF">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禁止分包的工程包括：</w:t>
      </w:r>
      <w:r>
        <w:rPr>
          <w:rFonts w:hint="eastAsia" w:ascii="宋体" w:hAnsi="宋体" w:eastAsia="宋体" w:cs="宋体"/>
          <w:color w:val="auto"/>
          <w:sz w:val="24"/>
          <w:u w:val="single"/>
        </w:rPr>
        <w:t>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p>
    <w:p w14:paraId="69F47BE9">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主体结构、关键性工作的范围：</w:t>
      </w:r>
      <w:r>
        <w:rPr>
          <w:rFonts w:hint="eastAsia" w:ascii="宋体" w:hAnsi="宋体" w:eastAsia="宋体" w:cs="宋体"/>
          <w:color w:val="auto"/>
          <w:sz w:val="24"/>
          <w:u w:val="single"/>
        </w:rPr>
        <w:t>/</w:t>
      </w:r>
      <w:r>
        <w:rPr>
          <w:rFonts w:hint="eastAsia" w:ascii="宋体" w:hAnsi="宋体" w:eastAsia="宋体" w:cs="宋体"/>
          <w:color w:val="auto"/>
          <w:sz w:val="24"/>
        </w:rPr>
        <w:t>。</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Start w:id="229" w:name="_Toc297120461"/>
      <w:bookmarkEnd w:id="229"/>
      <w:bookmarkStart w:id="230" w:name="_Toc296346662"/>
      <w:bookmarkEnd w:id="230"/>
      <w:bookmarkStart w:id="231" w:name="_Toc304295525"/>
      <w:bookmarkEnd w:id="231"/>
      <w:bookmarkStart w:id="232" w:name="_Toc296891201"/>
      <w:bookmarkEnd w:id="232"/>
      <w:bookmarkStart w:id="233" w:name="_Toc296503161"/>
      <w:bookmarkEnd w:id="233"/>
      <w:bookmarkStart w:id="234" w:name="_Toc303539104"/>
      <w:bookmarkEnd w:id="234"/>
      <w:bookmarkStart w:id="235" w:name="_Toc297123494"/>
      <w:bookmarkEnd w:id="235"/>
      <w:bookmarkStart w:id="236" w:name="_Toc297048347"/>
      <w:bookmarkEnd w:id="236"/>
      <w:bookmarkStart w:id="237" w:name="_Toc296944500"/>
      <w:bookmarkEnd w:id="237"/>
      <w:bookmarkStart w:id="238" w:name="_Toc296890989"/>
      <w:bookmarkEnd w:id="238"/>
      <w:bookmarkStart w:id="239" w:name="_Toc297216153"/>
      <w:bookmarkEnd w:id="239"/>
      <w:bookmarkStart w:id="240" w:name="_Toc296347160"/>
      <w:bookmarkEnd w:id="240"/>
      <w:bookmarkStart w:id="241" w:name="_Toc300934947"/>
      <w:bookmarkEnd w:id="241"/>
    </w:p>
    <w:p w14:paraId="680CDB5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w:t>
      </w:r>
      <w:bookmarkStart w:id="242" w:name="_Toc312677990"/>
      <w:bookmarkStart w:id="243" w:name="_Toc318581159"/>
      <w:r>
        <w:rPr>
          <w:rFonts w:hint="eastAsia" w:ascii="宋体" w:hAnsi="宋体" w:eastAsia="宋体" w:cs="宋体"/>
          <w:color w:val="auto"/>
          <w:sz w:val="24"/>
        </w:rPr>
        <w:t>.4.2分包的确定</w:t>
      </w:r>
    </w:p>
    <w:p w14:paraId="7998FC2A">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允许分包的专业工程包括：</w:t>
      </w:r>
      <w:r>
        <w:rPr>
          <w:rFonts w:hint="eastAsia" w:ascii="宋体" w:hAnsi="宋体" w:eastAsia="宋体" w:cs="宋体"/>
          <w:color w:val="auto"/>
          <w:sz w:val="24"/>
          <w:u w:val="single"/>
        </w:rPr>
        <w:t xml:space="preserve">招标人有权决定分包内容 </w:t>
      </w:r>
      <w:r>
        <w:rPr>
          <w:rFonts w:hint="eastAsia" w:ascii="宋体" w:hAnsi="宋体" w:eastAsia="宋体" w:cs="宋体"/>
          <w:color w:val="auto"/>
          <w:sz w:val="24"/>
        </w:rPr>
        <w:t>。</w:t>
      </w:r>
    </w:p>
    <w:p w14:paraId="60991CC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其他关于分包的约定：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072F914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3.4.3 分包合同价款</w:t>
      </w:r>
    </w:p>
    <w:p w14:paraId="1ECE0E5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关于分包合同价款支付的约定：</w:t>
      </w:r>
      <w:r>
        <w:rPr>
          <w:rFonts w:hint="eastAsia" w:ascii="宋体" w:hAnsi="宋体" w:eastAsia="宋体" w:cs="宋体"/>
          <w:color w:val="auto"/>
          <w:sz w:val="24"/>
          <w:u w:val="single"/>
        </w:rPr>
        <w:t>/</w:t>
      </w:r>
      <w:r>
        <w:rPr>
          <w:rFonts w:hint="eastAsia" w:ascii="宋体" w:hAnsi="宋体" w:eastAsia="宋体" w:cs="宋体"/>
          <w:color w:val="auto"/>
          <w:sz w:val="24"/>
        </w:rPr>
        <w:t>。</w:t>
      </w:r>
      <w:bookmarkEnd w:id="242"/>
      <w:bookmarkEnd w:id="243"/>
    </w:p>
    <w:p w14:paraId="0664F21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3.5 工程照管与成品、半成品保护</w:t>
      </w:r>
    </w:p>
    <w:p w14:paraId="6FA0320B">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承包人负责照管工程及工程相关的材料、工程设备的起始时间：</w:t>
      </w:r>
      <w:r>
        <w:rPr>
          <w:rFonts w:hint="eastAsia" w:ascii="宋体" w:hAnsi="宋体" w:eastAsia="宋体" w:cs="宋体"/>
          <w:color w:val="auto"/>
          <w:sz w:val="24"/>
          <w:u w:val="single"/>
        </w:rPr>
        <w:t>自发包人向承包人移交施工现场之日起，承包人应负责照管工程及工程相关的材料、工程设备，直到颁发工程接收证书之日止。</w:t>
      </w:r>
    </w:p>
    <w:p w14:paraId="626F1D7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3.6 履约担保</w:t>
      </w:r>
    </w:p>
    <w:p w14:paraId="59FD153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承包人是否提供履约担保：</w:t>
      </w:r>
      <w:r>
        <w:rPr>
          <w:rFonts w:hint="eastAsia" w:ascii="宋体" w:hAnsi="宋体" w:eastAsia="宋体" w:cs="宋体"/>
          <w:color w:val="auto"/>
          <w:sz w:val="24"/>
          <w:u w:val="single"/>
        </w:rPr>
        <w:t xml:space="preserve">  本项目收取履约保证金，金额为合同金额的</w:t>
      </w:r>
      <w:r>
        <w:rPr>
          <w:rFonts w:hint="eastAsia" w:ascii="宋体" w:hAnsi="宋体" w:cs="宋体"/>
          <w:color w:val="auto"/>
          <w:sz w:val="24"/>
          <w:u w:val="single"/>
          <w:lang w:val="en-US" w:eastAsia="zh-CN"/>
        </w:rPr>
        <w:t>3</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35BAC171">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承包人提供履约担保的形式、金额及期限的：</w:t>
      </w:r>
      <w:r>
        <w:rPr>
          <w:rFonts w:hint="eastAsia" w:ascii="宋体" w:hAnsi="宋体" w:eastAsia="宋体" w:cs="宋体"/>
          <w:color w:val="auto"/>
          <w:sz w:val="24"/>
          <w:u w:val="single"/>
        </w:rPr>
        <w:t xml:space="preserve"> 中标人应当以汇款（履约保证金必须从企业的法人基本存款账户缴纳）、支票、汇票、本票或者金融机构、担保机构出具的保函等非现金形式在成交通知书发出7日内签订合同前提交 </w:t>
      </w:r>
      <w:r>
        <w:rPr>
          <w:rFonts w:hint="eastAsia" w:ascii="宋体" w:hAnsi="宋体" w:eastAsia="宋体" w:cs="宋体"/>
          <w:color w:val="auto"/>
          <w:sz w:val="24"/>
          <w:u w:val="none"/>
        </w:rPr>
        <w:t>。</w:t>
      </w:r>
    </w:p>
    <w:p w14:paraId="436D1A5B">
      <w:pPr>
        <w:pStyle w:val="5"/>
        <w:spacing w:before="0" w:after="0" w:line="360" w:lineRule="auto"/>
        <w:ind w:firstLine="482"/>
        <w:rPr>
          <w:rFonts w:hint="eastAsia" w:ascii="宋体" w:hAnsi="宋体" w:eastAsia="宋体" w:cs="宋体"/>
          <w:color w:val="auto"/>
          <w:sz w:val="24"/>
          <w:szCs w:val="24"/>
        </w:rPr>
      </w:pPr>
      <w:r>
        <w:rPr>
          <w:rFonts w:hint="eastAsia" w:ascii="宋体" w:hAnsi="宋体" w:eastAsia="宋体" w:cs="宋体"/>
          <w:color w:val="auto"/>
          <w:sz w:val="24"/>
          <w:szCs w:val="24"/>
        </w:rPr>
        <w:t>4、监理人员</w:t>
      </w:r>
    </w:p>
    <w:p w14:paraId="10AC961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4.1总监理工程师：</w:t>
      </w:r>
    </w:p>
    <w:p w14:paraId="36E3CB7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747CA9E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4238B77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监理工程师执业资格证书号：</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128C630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56F8D68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067A56D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543644E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关于监理人的其他约定：</w:t>
      </w:r>
      <w:r>
        <w:rPr>
          <w:rFonts w:hint="eastAsia" w:ascii="宋体" w:hAnsi="宋体" w:eastAsia="宋体" w:cs="宋体"/>
          <w:color w:val="auto"/>
          <w:sz w:val="24"/>
          <w:u w:val="single"/>
        </w:rPr>
        <w:t>总监工程师签发的工程变更和付款凭证需发包人签字认可。</w:t>
      </w:r>
    </w:p>
    <w:p w14:paraId="7DDF886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4.2商定或确定</w:t>
      </w:r>
    </w:p>
    <w:p w14:paraId="7ADBA299">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在发包人和承包人不能通过协商达成一致意见时，发包人授权监理人对以下事项进行确定：</w:t>
      </w:r>
      <w:r>
        <w:rPr>
          <w:rFonts w:hint="eastAsia" w:ascii="宋体" w:hAnsi="宋体" w:eastAsia="宋体" w:cs="宋体"/>
          <w:color w:val="auto"/>
          <w:sz w:val="24"/>
          <w:u w:val="single"/>
        </w:rPr>
        <w:t xml:space="preserve"> 无 。</w:t>
      </w:r>
    </w:p>
    <w:p w14:paraId="44EDFFE8">
      <w:pPr>
        <w:pStyle w:val="5"/>
        <w:spacing w:before="0" w:after="0" w:line="360" w:lineRule="auto"/>
        <w:ind w:firstLine="482"/>
        <w:rPr>
          <w:rFonts w:hint="eastAsia" w:ascii="宋体" w:hAnsi="宋体" w:eastAsia="宋体" w:cs="宋体"/>
          <w:color w:val="auto"/>
          <w:sz w:val="24"/>
          <w:szCs w:val="24"/>
        </w:rPr>
      </w:pPr>
      <w:bookmarkStart w:id="244" w:name="_Toc267251418"/>
      <w:bookmarkStart w:id="245" w:name="_Toc351203637"/>
      <w:r>
        <w:rPr>
          <w:rFonts w:hint="eastAsia" w:ascii="宋体" w:hAnsi="宋体" w:eastAsia="宋体" w:cs="宋体"/>
          <w:color w:val="auto"/>
          <w:sz w:val="24"/>
          <w:szCs w:val="24"/>
        </w:rPr>
        <w:t>5</w:t>
      </w:r>
      <w:bookmarkEnd w:id="244"/>
      <w:r>
        <w:rPr>
          <w:rFonts w:hint="eastAsia" w:ascii="宋体" w:hAnsi="宋体" w:eastAsia="宋体" w:cs="宋体"/>
          <w:color w:val="auto"/>
          <w:sz w:val="24"/>
          <w:szCs w:val="24"/>
        </w:rPr>
        <w:t>、工程质量</w:t>
      </w:r>
      <w:bookmarkEnd w:id="245"/>
    </w:p>
    <w:p w14:paraId="5B4438B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5.1 质量要求</w:t>
      </w:r>
    </w:p>
    <w:p w14:paraId="4670A3D6">
      <w:pPr>
        <w:spacing w:line="360" w:lineRule="auto"/>
        <w:ind w:firstLine="480"/>
        <w:rPr>
          <w:rFonts w:hint="default" w:ascii="宋体" w:hAnsi="宋体" w:eastAsia="宋体" w:cs="宋体"/>
          <w:color w:val="auto"/>
          <w:sz w:val="24"/>
          <w:u w:val="single"/>
          <w:lang w:val="en-US" w:eastAsia="zh-CN"/>
        </w:rPr>
      </w:pPr>
      <w:r>
        <w:rPr>
          <w:rFonts w:hint="eastAsia" w:ascii="宋体" w:hAnsi="宋体" w:eastAsia="宋体" w:cs="宋体"/>
          <w:color w:val="auto"/>
          <w:sz w:val="24"/>
        </w:rPr>
        <w:t>5.1.1 特殊质量标准和要求：</w:t>
      </w:r>
      <w:r>
        <w:rPr>
          <w:rFonts w:hint="eastAsia" w:ascii="宋体" w:hAnsi="宋体" w:cs="宋体"/>
          <w:color w:val="auto"/>
          <w:sz w:val="24"/>
          <w:u w:val="single"/>
          <w:lang w:val="en-US" w:eastAsia="zh-CN"/>
        </w:rPr>
        <w:t xml:space="preserve"> 合格 </w:t>
      </w:r>
      <w:r>
        <w:rPr>
          <w:rFonts w:hint="eastAsia" w:ascii="宋体" w:hAnsi="宋体" w:eastAsia="宋体" w:cs="宋体"/>
          <w:color w:val="auto"/>
          <w:sz w:val="24"/>
        </w:rPr>
        <w:t>。</w:t>
      </w:r>
    </w:p>
    <w:p w14:paraId="04BC58B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关于工程奖项的约定：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w:t>
      </w:r>
    </w:p>
    <w:p w14:paraId="68558BE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5.2 隐蔽工程检查</w:t>
      </w:r>
    </w:p>
    <w:p w14:paraId="5056C64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5.2.2承包人提前通知监理人隐蔽工程检查的期限的约定：</w:t>
      </w:r>
      <w:r>
        <w:rPr>
          <w:rFonts w:hint="eastAsia" w:ascii="宋体" w:hAnsi="宋体" w:eastAsia="宋体" w:cs="宋体"/>
          <w:color w:val="auto"/>
          <w:sz w:val="24"/>
          <w:u w:val="single"/>
        </w:rPr>
        <w:t xml:space="preserve"> 承包人在检查前12小时以书面形式通知监理人 </w:t>
      </w:r>
      <w:r>
        <w:rPr>
          <w:rFonts w:hint="eastAsia" w:ascii="宋体" w:hAnsi="宋体" w:eastAsia="宋体" w:cs="宋体"/>
          <w:color w:val="auto"/>
          <w:sz w:val="24"/>
        </w:rPr>
        <w:t>。</w:t>
      </w:r>
    </w:p>
    <w:p w14:paraId="0C814A9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监理人不能按时进行检查时，应提前</w:t>
      </w:r>
      <w:r>
        <w:rPr>
          <w:rFonts w:hint="eastAsia" w:ascii="宋体" w:hAnsi="宋体" w:eastAsia="宋体" w:cs="宋体"/>
          <w:color w:val="auto"/>
          <w:sz w:val="24"/>
          <w:u w:val="single"/>
        </w:rPr>
        <w:t xml:space="preserve"> 12 </w:t>
      </w:r>
      <w:r>
        <w:rPr>
          <w:rFonts w:hint="eastAsia" w:ascii="宋体" w:hAnsi="宋体" w:eastAsia="宋体" w:cs="宋体"/>
          <w:color w:val="auto"/>
          <w:sz w:val="24"/>
        </w:rPr>
        <w:t>小时提交书面延期要求。</w:t>
      </w:r>
    </w:p>
    <w:p w14:paraId="7D9B179A">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关于延期最长不得超过：</w:t>
      </w:r>
      <w:r>
        <w:rPr>
          <w:rFonts w:hint="eastAsia" w:ascii="宋体" w:hAnsi="宋体" w:eastAsia="宋体" w:cs="宋体"/>
          <w:color w:val="auto"/>
          <w:sz w:val="24"/>
          <w:u w:val="single"/>
        </w:rPr>
        <w:t xml:space="preserve"> 24 </w:t>
      </w:r>
      <w:r>
        <w:rPr>
          <w:rFonts w:hint="eastAsia" w:ascii="宋体" w:hAnsi="宋体" w:eastAsia="宋体" w:cs="宋体"/>
          <w:color w:val="auto"/>
          <w:sz w:val="24"/>
        </w:rPr>
        <w:t>小时。</w:t>
      </w:r>
    </w:p>
    <w:p w14:paraId="12627A46">
      <w:pPr>
        <w:pStyle w:val="5"/>
        <w:spacing w:before="0" w:after="0" w:line="360" w:lineRule="auto"/>
        <w:ind w:firstLine="482"/>
        <w:rPr>
          <w:rFonts w:hint="eastAsia" w:ascii="宋体" w:hAnsi="宋体" w:eastAsia="宋体" w:cs="宋体"/>
          <w:color w:val="auto"/>
          <w:sz w:val="24"/>
          <w:szCs w:val="24"/>
        </w:rPr>
      </w:pPr>
      <w:r>
        <w:rPr>
          <w:rFonts w:hint="eastAsia" w:ascii="宋体" w:hAnsi="宋体" w:eastAsia="宋体" w:cs="宋体"/>
          <w:color w:val="auto"/>
          <w:sz w:val="24"/>
          <w:szCs w:val="24"/>
        </w:rPr>
        <w:t>6、安全文明施工与环境保护</w:t>
      </w:r>
      <w:bookmarkEnd w:id="185"/>
    </w:p>
    <w:p w14:paraId="3E8C42D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6.1安全文明施工</w:t>
      </w:r>
    </w:p>
    <w:p w14:paraId="02765CCB">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6.1.1 项目安全生产的达标目标及相应事项的约定：</w:t>
      </w:r>
      <w:r>
        <w:rPr>
          <w:rFonts w:hint="eastAsia" w:ascii="宋体" w:hAnsi="宋体" w:eastAsia="宋体" w:cs="宋体"/>
          <w:color w:val="auto"/>
          <w:sz w:val="24"/>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p>
    <w:p w14:paraId="484B2CD3">
      <w:pPr>
        <w:spacing w:line="360" w:lineRule="auto"/>
        <w:ind w:firstLine="480"/>
        <w:jc w:val="left"/>
        <w:rPr>
          <w:rFonts w:hint="eastAsia" w:ascii="宋体" w:hAnsi="宋体" w:eastAsia="宋体" w:cs="宋体"/>
          <w:color w:val="auto"/>
          <w:sz w:val="24"/>
          <w:u w:val="single"/>
        </w:rPr>
      </w:pPr>
      <w:r>
        <w:rPr>
          <w:rFonts w:hint="eastAsia" w:ascii="宋体" w:hAnsi="宋体" w:eastAsia="宋体" w:cs="宋体"/>
          <w:color w:val="auto"/>
          <w:sz w:val="24"/>
        </w:rPr>
        <w:t>6.1.2 关于治安保卫的特别约定：</w:t>
      </w:r>
      <w:r>
        <w:rPr>
          <w:rFonts w:hint="eastAsia" w:ascii="宋体" w:hAnsi="宋体" w:eastAsia="宋体" w:cs="宋体"/>
          <w:color w:val="auto"/>
          <w:sz w:val="24"/>
          <w:u w:val="single"/>
        </w:rPr>
        <w:t>建立治安管理机构或联防组织，统一管理施工场地的治安保卫事项，履行合同工程的治安保卫职责。</w:t>
      </w:r>
    </w:p>
    <w:p w14:paraId="15267FA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关于编制施工场地治安管理计划的约定：</w:t>
      </w:r>
      <w:r>
        <w:rPr>
          <w:rFonts w:hint="eastAsia" w:ascii="宋体" w:hAnsi="宋体" w:eastAsia="宋体" w:cs="宋体"/>
          <w:color w:val="auto"/>
          <w:sz w:val="24"/>
          <w:u w:val="single"/>
        </w:rPr>
        <w:t xml:space="preserve">由发包人和承包人共同编制 </w:t>
      </w:r>
      <w:r>
        <w:rPr>
          <w:rFonts w:hint="eastAsia" w:ascii="宋体" w:hAnsi="宋体" w:eastAsia="宋体" w:cs="宋体"/>
          <w:color w:val="auto"/>
          <w:sz w:val="24"/>
        </w:rPr>
        <w:t>。</w:t>
      </w:r>
    </w:p>
    <w:p w14:paraId="3EF7B1E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6.1.3 文明施工</w:t>
      </w:r>
    </w:p>
    <w:p w14:paraId="79C1BB38">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合同当事人对文明施工的要求：</w:t>
      </w:r>
      <w:r>
        <w:rPr>
          <w:rFonts w:hint="eastAsia" w:ascii="宋体" w:hAnsi="宋体" w:eastAsia="宋体" w:cs="宋体"/>
          <w:color w:val="auto"/>
          <w:sz w:val="24"/>
          <w:u w:val="single"/>
        </w:rPr>
        <w:t>保持场地整洁卫生，因为违纪行为发生的清理处罚费用由承包人承担，保证工完料清，并保证工地周围环境整洁。同时，遵守发包人的其它有关管理要求。费用已含在投标报价内。</w:t>
      </w:r>
    </w:p>
    <w:p w14:paraId="12D6C33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承包人要制定生活和环境卫生管理制度，要搞好职工宿舍卫生和食堂的饮食卫生，并做好厕所保洁工作。临时搭建须经发包人批准，且应整齐美观。</w:t>
      </w:r>
    </w:p>
    <w:p w14:paraId="3BBBAF81">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6.1.4 关于安全文明施工费支付比例和支付期限的约定：</w:t>
      </w:r>
      <w:r>
        <w:rPr>
          <w:rFonts w:hint="eastAsia" w:ascii="宋体" w:hAnsi="宋体" w:cs="宋体"/>
          <w:color w:val="auto"/>
          <w:sz w:val="24"/>
          <w:u w:val="single"/>
          <w:lang w:val="en-US" w:eastAsia="zh-CN"/>
        </w:rPr>
        <w:t>按相关政策及规范执行</w:t>
      </w:r>
      <w:r>
        <w:rPr>
          <w:rFonts w:hint="eastAsia" w:ascii="宋体" w:hAnsi="宋体" w:eastAsia="宋体" w:cs="宋体"/>
          <w:color w:val="auto"/>
          <w:sz w:val="24"/>
          <w:u w:val="none"/>
        </w:rPr>
        <w:t>。</w:t>
      </w:r>
    </w:p>
    <w:p w14:paraId="648EC03F">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承包方必须按发包方要求做好安全文明施工工作，设置必须的围挡及安全警示标志，如达不到发包方要求，发包方有权扣除安全文明措施费。</w:t>
      </w:r>
      <w:bookmarkEnd w:id="167"/>
      <w:bookmarkEnd w:id="168"/>
      <w:bookmarkEnd w:id="169"/>
      <w:bookmarkEnd w:id="170"/>
      <w:bookmarkEnd w:id="171"/>
      <w:bookmarkEnd w:id="172"/>
      <w:bookmarkEnd w:id="173"/>
    </w:p>
    <w:p w14:paraId="144221BD">
      <w:pPr>
        <w:pStyle w:val="5"/>
        <w:spacing w:before="0" w:after="0" w:line="360" w:lineRule="auto"/>
        <w:ind w:firstLine="482"/>
        <w:rPr>
          <w:rFonts w:hint="eastAsia" w:ascii="宋体" w:hAnsi="宋体" w:eastAsia="宋体" w:cs="宋体"/>
          <w:color w:val="auto"/>
          <w:sz w:val="24"/>
          <w:szCs w:val="24"/>
        </w:rPr>
      </w:pPr>
      <w:bookmarkStart w:id="246" w:name="_Toc351203639"/>
      <w:r>
        <w:rPr>
          <w:rFonts w:hint="eastAsia" w:ascii="宋体" w:hAnsi="宋体" w:eastAsia="宋体" w:cs="宋体"/>
          <w:color w:val="auto"/>
          <w:sz w:val="24"/>
          <w:szCs w:val="24"/>
        </w:rPr>
        <w:t>7、工期和进度</w:t>
      </w:r>
      <w:bookmarkEnd w:id="246"/>
    </w:p>
    <w:p w14:paraId="37BCDB6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7.1 施工组织设计</w:t>
      </w:r>
    </w:p>
    <w:p w14:paraId="33C9D04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7.1.1 合同当事人约定的施工组织设计应包括的其他内容：</w:t>
      </w:r>
    </w:p>
    <w:p w14:paraId="7954D85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（1）总体概述：施工组织总体设想、方案针对性及施工标段划分 </w:t>
      </w:r>
    </w:p>
    <w:p w14:paraId="1F95327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（2）施工现场平面布置和临时设施、临时道路布置 </w:t>
      </w:r>
    </w:p>
    <w:p w14:paraId="52A94AF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（3）施工进度计划和各阶段进度的保证措施 </w:t>
      </w:r>
    </w:p>
    <w:p w14:paraId="6533263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（4）劳动力、机械设备和材料投入计划 </w:t>
      </w:r>
    </w:p>
    <w:p w14:paraId="74CC56B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（5）关键施工技术、工艺及工程项目实施的重点、难点和解决方案 </w:t>
      </w:r>
    </w:p>
    <w:p w14:paraId="6FF4B14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（6）新技术、新产品、新工艺、新材料应用 </w:t>
      </w:r>
    </w:p>
    <w:p w14:paraId="5BFC6BF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供应商应保证一旦成交，在施工组织设计中列明的人员应确保参加工程的实施，列明的机具应保证工程随时调用，否则承担违约责任。</w:t>
      </w:r>
    </w:p>
    <w:p w14:paraId="68C0A00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7.1.2 施工组织设计的提交和修改</w:t>
      </w:r>
    </w:p>
    <w:p w14:paraId="2312C03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承包人提交详细施工组织设计的期限的约定：</w:t>
      </w:r>
      <w:r>
        <w:rPr>
          <w:rFonts w:hint="eastAsia" w:ascii="宋体" w:hAnsi="宋体" w:eastAsia="宋体" w:cs="宋体"/>
          <w:color w:val="auto"/>
          <w:sz w:val="24"/>
          <w:u w:val="single"/>
        </w:rPr>
        <w:t>合同签订后14日内</w:t>
      </w:r>
      <w:r>
        <w:rPr>
          <w:rFonts w:hint="eastAsia" w:ascii="宋体" w:hAnsi="宋体" w:eastAsia="宋体" w:cs="宋体"/>
          <w:color w:val="auto"/>
          <w:sz w:val="24"/>
        </w:rPr>
        <w:t>。</w:t>
      </w:r>
    </w:p>
    <w:p w14:paraId="391AF56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发包人和监理人在收到详细的施工组织设计后确认或提出修改意见的期限：</w:t>
      </w:r>
      <w:r>
        <w:rPr>
          <w:rFonts w:hint="eastAsia" w:ascii="宋体" w:hAnsi="宋体" w:eastAsia="宋体" w:cs="宋体"/>
          <w:color w:val="auto"/>
          <w:sz w:val="24"/>
          <w:u w:val="single"/>
        </w:rPr>
        <w:t>收到施工组织设计后7天内</w:t>
      </w:r>
      <w:r>
        <w:rPr>
          <w:rFonts w:hint="eastAsia" w:ascii="宋体" w:hAnsi="宋体" w:eastAsia="宋体" w:cs="宋体"/>
          <w:color w:val="auto"/>
          <w:sz w:val="24"/>
        </w:rPr>
        <w:t>。</w:t>
      </w:r>
    </w:p>
    <w:p w14:paraId="166C6EC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w:t>
      </w:r>
      <w:bookmarkStart w:id="247" w:name="_Toc300934966"/>
      <w:bookmarkStart w:id="248" w:name="_Toc312677479"/>
      <w:bookmarkStart w:id="249" w:name="_Toc312678005"/>
      <w:bookmarkStart w:id="250" w:name="_Toc304295541"/>
      <w:bookmarkStart w:id="251" w:name="_Toc297123514"/>
      <w:bookmarkStart w:id="252" w:name="_Toc303539123"/>
      <w:bookmarkStart w:id="253" w:name="_Toc297216173"/>
      <w:r>
        <w:rPr>
          <w:rFonts w:hint="eastAsia" w:ascii="宋体" w:hAnsi="宋体" w:eastAsia="宋体" w:cs="宋体"/>
          <w:color w:val="auto"/>
          <w:sz w:val="24"/>
        </w:rPr>
        <w:t>.2 施工进度计划</w:t>
      </w:r>
    </w:p>
    <w:p w14:paraId="6F2FD8A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7.2.1 施工进度计划的修订</w:t>
      </w:r>
    </w:p>
    <w:p w14:paraId="1C956FE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发包人和监理人在收到修订的施工进度计划后确认或提出修改意见的期限：</w:t>
      </w:r>
      <w:r>
        <w:rPr>
          <w:rFonts w:hint="eastAsia" w:ascii="宋体" w:hAnsi="宋体" w:eastAsia="宋体" w:cs="宋体"/>
          <w:color w:val="auto"/>
          <w:sz w:val="24"/>
          <w:u w:val="single"/>
        </w:rPr>
        <w:t xml:space="preserve">收到修订的施工进度计划后7天内 </w:t>
      </w:r>
      <w:r>
        <w:rPr>
          <w:rFonts w:hint="eastAsia" w:ascii="宋体" w:hAnsi="宋体" w:eastAsia="宋体" w:cs="宋体"/>
          <w:color w:val="auto"/>
          <w:sz w:val="24"/>
        </w:rPr>
        <w:t>。</w:t>
      </w:r>
    </w:p>
    <w:p w14:paraId="2967832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7.3 开工</w:t>
      </w:r>
    </w:p>
    <w:p w14:paraId="0CF93EB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7.3.1 开工准备</w:t>
      </w:r>
    </w:p>
    <w:p w14:paraId="30065636">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关于承包人提交工程开工报审表的期限：</w:t>
      </w:r>
      <w:r>
        <w:rPr>
          <w:rFonts w:hint="eastAsia" w:ascii="宋体" w:hAnsi="宋体" w:eastAsia="宋体" w:cs="宋体"/>
          <w:color w:val="auto"/>
          <w:sz w:val="24"/>
          <w:u w:val="single"/>
        </w:rPr>
        <w:t xml:space="preserve">合同签订后7日内 </w:t>
      </w:r>
      <w:r>
        <w:rPr>
          <w:rFonts w:hint="eastAsia" w:ascii="宋体" w:hAnsi="宋体" w:eastAsia="宋体" w:cs="宋体"/>
          <w:color w:val="auto"/>
          <w:sz w:val="24"/>
        </w:rPr>
        <w:t>。</w:t>
      </w:r>
    </w:p>
    <w:p w14:paraId="26D11209">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关于发包人应完成的其他开工准备工作及期限：</w:t>
      </w:r>
      <w:r>
        <w:rPr>
          <w:rFonts w:hint="eastAsia" w:ascii="宋体" w:hAnsi="宋体" w:eastAsia="宋体" w:cs="宋体"/>
          <w:color w:val="auto"/>
          <w:sz w:val="24"/>
          <w:u w:val="single"/>
        </w:rPr>
        <w:t xml:space="preserve">开工日期 7 天前向承包人移交场地、提供测量基准点、基准线、水准点，工程地质和地下管线书面资料。 </w:t>
      </w:r>
    </w:p>
    <w:p w14:paraId="4086A871">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关于承包人应完成的其他开工准备工作及期限：</w:t>
      </w:r>
      <w:r>
        <w:rPr>
          <w:rFonts w:hint="eastAsia" w:ascii="宋体" w:hAnsi="宋体" w:eastAsia="宋体" w:cs="宋体"/>
          <w:color w:val="auto"/>
          <w:sz w:val="24"/>
          <w:u w:val="single"/>
        </w:rPr>
        <w:t xml:space="preserve">接到开工通知后7日内完成项目部组建，施工、生活用水电接通到位；承包人施工及生活用水用电费用按表计量（加上公共分摊的部分），按供水供电部门标准收取，由发包人按月向承包人收取。 </w:t>
      </w:r>
    </w:p>
    <w:p w14:paraId="46BEC63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7.3.2开工通知</w:t>
      </w:r>
    </w:p>
    <w:p w14:paraId="4C0365A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因发包人原因造成监理人未能在计划开工日期之日起</w:t>
      </w:r>
      <w:r>
        <w:rPr>
          <w:rFonts w:hint="eastAsia" w:ascii="宋体" w:hAnsi="宋体" w:eastAsia="宋体" w:cs="宋体"/>
          <w:color w:val="auto"/>
          <w:sz w:val="24"/>
          <w:u w:val="single"/>
        </w:rPr>
        <w:t xml:space="preserve"> 180 </w:t>
      </w:r>
      <w:r>
        <w:rPr>
          <w:rFonts w:hint="eastAsia" w:ascii="宋体" w:hAnsi="宋体" w:eastAsia="宋体" w:cs="宋体"/>
          <w:color w:val="auto"/>
          <w:sz w:val="24"/>
        </w:rPr>
        <w:t>天内发出开工通知的，承包人有权提出价格调整要求，或者解除合同。</w:t>
      </w:r>
      <w:bookmarkEnd w:id="247"/>
      <w:bookmarkEnd w:id="248"/>
      <w:bookmarkEnd w:id="249"/>
      <w:bookmarkEnd w:id="250"/>
      <w:bookmarkEnd w:id="251"/>
      <w:bookmarkEnd w:id="252"/>
      <w:bookmarkEnd w:id="253"/>
    </w:p>
    <w:p w14:paraId="18EECC8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7.4 测量放线</w:t>
      </w:r>
    </w:p>
    <w:p w14:paraId="679054CA">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7.4.1发包人通过监理人向承包人提供测量基准点、基准线和水准点及其书面资料的期限：</w:t>
      </w:r>
      <w:r>
        <w:rPr>
          <w:rFonts w:hint="eastAsia" w:ascii="宋体" w:hAnsi="宋体" w:eastAsia="宋体" w:cs="宋体"/>
          <w:color w:val="auto"/>
          <w:sz w:val="24"/>
          <w:u w:val="single"/>
        </w:rPr>
        <w:t>开工日期7天前</w:t>
      </w:r>
      <w:r>
        <w:rPr>
          <w:rFonts w:hint="eastAsia" w:ascii="宋体" w:hAnsi="宋体" w:eastAsia="宋体" w:cs="宋体"/>
          <w:color w:val="auto"/>
          <w:sz w:val="24"/>
        </w:rPr>
        <w:t>。</w:t>
      </w:r>
    </w:p>
    <w:p w14:paraId="3AB387E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w:t>
      </w:r>
      <w:bookmarkStart w:id="254" w:name="_Toc300934968"/>
      <w:bookmarkStart w:id="255" w:name="_Toc303539125"/>
      <w:bookmarkStart w:id="256" w:name="_Toc304295546"/>
      <w:bookmarkStart w:id="257" w:name="_Toc312678010"/>
      <w:bookmarkStart w:id="258" w:name="_Toc297216175"/>
      <w:bookmarkStart w:id="259" w:name="_Toc297123516"/>
      <w:bookmarkStart w:id="260" w:name="_Toc312677484"/>
      <w:r>
        <w:rPr>
          <w:rFonts w:hint="eastAsia" w:ascii="宋体" w:hAnsi="宋体" w:eastAsia="宋体" w:cs="宋体"/>
          <w:color w:val="auto"/>
          <w:sz w:val="24"/>
        </w:rPr>
        <w:t>.5 工期延误</w:t>
      </w:r>
      <w:bookmarkEnd w:id="254"/>
      <w:bookmarkEnd w:id="255"/>
      <w:bookmarkEnd w:id="256"/>
      <w:bookmarkEnd w:id="257"/>
      <w:bookmarkEnd w:id="258"/>
      <w:bookmarkEnd w:id="259"/>
      <w:bookmarkEnd w:id="260"/>
    </w:p>
    <w:p w14:paraId="0D6D04A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7.5.1 因发包人原因导致工期延误</w:t>
      </w:r>
    </w:p>
    <w:p w14:paraId="758D2B98">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因发包人原因导致工期延误的其他情形：</w:t>
      </w:r>
      <w:r>
        <w:rPr>
          <w:rFonts w:hint="eastAsia" w:ascii="宋体" w:hAnsi="宋体" w:eastAsia="宋体" w:cs="宋体"/>
          <w:color w:val="auto"/>
          <w:sz w:val="24"/>
          <w:u w:val="single"/>
        </w:rPr>
        <w:t>因发包人原因造成暂停施工的，发包人应书面通知承包人，承包人应积极配合发包人做好施工计划调整，并合理调整人员和施工机械，工期顺延，发包人不承担其他损失。</w:t>
      </w:r>
    </w:p>
    <w:p w14:paraId="71584FF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w:t>
      </w:r>
      <w:bookmarkStart w:id="261" w:name="_Toc318581169"/>
      <w:bookmarkStart w:id="262" w:name="_Toc312678012"/>
      <w:bookmarkStart w:id="263" w:name="_Toc312677486"/>
      <w:bookmarkStart w:id="264" w:name="_Toc297216177"/>
      <w:bookmarkStart w:id="265" w:name="_Toc303539127"/>
      <w:bookmarkStart w:id="266" w:name="_Toc297123518"/>
      <w:bookmarkStart w:id="267" w:name="_Toc300934970"/>
      <w:bookmarkStart w:id="268" w:name="_Toc304295548"/>
      <w:r>
        <w:rPr>
          <w:rFonts w:hint="eastAsia" w:ascii="宋体" w:hAnsi="宋体" w:eastAsia="宋体" w:cs="宋体"/>
          <w:color w:val="auto"/>
          <w:sz w:val="24"/>
        </w:rPr>
        <w:t>.5.2 因承包人原因导致工期延误</w:t>
      </w:r>
      <w:bookmarkEnd w:id="261"/>
      <w:bookmarkEnd w:id="262"/>
      <w:bookmarkEnd w:id="263"/>
    </w:p>
    <w:p w14:paraId="4843163F">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因</w:t>
      </w:r>
      <w:bookmarkStart w:id="269" w:name="_Toc318581170"/>
      <w:bookmarkStart w:id="270" w:name="_Toc312678013"/>
      <w:bookmarkStart w:id="271" w:name="_Toc312677487"/>
      <w:r>
        <w:rPr>
          <w:rFonts w:hint="eastAsia" w:ascii="宋体" w:hAnsi="宋体" w:eastAsia="宋体" w:cs="宋体"/>
          <w:color w:val="auto"/>
          <w:sz w:val="24"/>
        </w:rPr>
        <w:t>承包人原因造成工期延误，逾期竣工违约金的计算方法为：</w:t>
      </w:r>
      <w:r>
        <w:rPr>
          <w:rFonts w:hint="eastAsia" w:ascii="宋体" w:hAnsi="宋体" w:eastAsia="宋体" w:cs="宋体"/>
          <w:b/>
          <w:color w:val="auto"/>
          <w:sz w:val="24"/>
          <w:u w:val="single"/>
        </w:rPr>
        <w:t>每延误一天，承包人赔偿给发包人</w:t>
      </w:r>
      <w:r>
        <w:rPr>
          <w:rFonts w:hint="eastAsia" w:ascii="宋体" w:hAnsi="宋体" w:eastAsia="宋体" w:cs="宋体"/>
          <w:b/>
          <w:color w:val="auto"/>
          <w:sz w:val="24"/>
          <w:u w:val="single"/>
          <w:lang w:val="en-US" w:eastAsia="zh-CN"/>
        </w:rPr>
        <w:t>2000元</w:t>
      </w:r>
      <w:r>
        <w:rPr>
          <w:rFonts w:hint="eastAsia" w:ascii="宋体" w:hAnsi="宋体" w:cs="宋体"/>
          <w:b/>
          <w:color w:val="auto"/>
          <w:sz w:val="24"/>
          <w:u w:val="single"/>
          <w:lang w:val="en-US" w:eastAsia="zh-CN"/>
        </w:rPr>
        <w:t>/天的</w:t>
      </w:r>
      <w:r>
        <w:rPr>
          <w:rFonts w:hint="eastAsia" w:ascii="宋体" w:hAnsi="宋体" w:eastAsia="宋体" w:cs="宋体"/>
          <w:b/>
          <w:color w:val="auto"/>
          <w:sz w:val="24"/>
          <w:u w:val="single"/>
        </w:rPr>
        <w:t>违约金</w:t>
      </w:r>
      <w:r>
        <w:rPr>
          <w:rFonts w:hint="eastAsia" w:ascii="宋体" w:hAnsi="宋体" w:eastAsia="宋体" w:cs="宋体"/>
          <w:b/>
          <w:color w:val="auto"/>
          <w:sz w:val="24"/>
        </w:rPr>
        <w:t>。</w:t>
      </w:r>
      <w:bookmarkEnd w:id="264"/>
      <w:bookmarkEnd w:id="265"/>
      <w:bookmarkEnd w:id="266"/>
      <w:bookmarkEnd w:id="267"/>
      <w:bookmarkEnd w:id="268"/>
      <w:bookmarkEnd w:id="269"/>
      <w:bookmarkEnd w:id="270"/>
      <w:bookmarkEnd w:id="271"/>
    </w:p>
    <w:p w14:paraId="03A232F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w:t>
      </w:r>
      <w:bookmarkStart w:id="272" w:name="_Toc303539128"/>
      <w:bookmarkStart w:id="273" w:name="_Toc300934971"/>
      <w:bookmarkStart w:id="274" w:name="_Toc304295549"/>
      <w:bookmarkStart w:id="275" w:name="_Toc297123519"/>
      <w:bookmarkStart w:id="276" w:name="_Toc312678015"/>
      <w:bookmarkStart w:id="277" w:name="_Toc297216178"/>
      <w:r>
        <w:rPr>
          <w:rFonts w:hint="eastAsia" w:ascii="宋体" w:hAnsi="宋体" w:eastAsia="宋体" w:cs="宋体"/>
          <w:color w:val="auto"/>
          <w:sz w:val="24"/>
        </w:rPr>
        <w:t>.6 不</w:t>
      </w:r>
      <w:bookmarkEnd w:id="272"/>
      <w:bookmarkEnd w:id="273"/>
      <w:bookmarkEnd w:id="274"/>
      <w:bookmarkEnd w:id="275"/>
      <w:bookmarkEnd w:id="276"/>
      <w:bookmarkEnd w:id="277"/>
      <w:r>
        <w:rPr>
          <w:rFonts w:hint="eastAsia" w:ascii="宋体" w:hAnsi="宋体" w:eastAsia="宋体" w:cs="宋体"/>
          <w:color w:val="auto"/>
          <w:sz w:val="24"/>
        </w:rPr>
        <w:t>利物质条件</w:t>
      </w:r>
    </w:p>
    <w:p w14:paraId="3BEC7C6D">
      <w:pPr>
        <w:spacing w:line="360" w:lineRule="auto"/>
        <w:ind w:firstLine="480"/>
        <w:rPr>
          <w:rFonts w:hint="eastAsia" w:ascii="宋体" w:hAnsi="宋体" w:eastAsia="宋体" w:cs="宋体"/>
          <w:color w:val="auto"/>
          <w:sz w:val="24"/>
        </w:rPr>
      </w:pPr>
      <w:bookmarkStart w:id="278" w:name="_Toc300934972"/>
      <w:bookmarkStart w:id="279" w:name="_Toc297216179"/>
      <w:bookmarkStart w:id="280" w:name="_Toc297123520"/>
      <w:bookmarkStart w:id="281" w:name="_Toc303539129"/>
      <w:bookmarkStart w:id="282" w:name="_Toc304295550"/>
      <w:bookmarkStart w:id="283" w:name="_Toc312678016"/>
      <w:bookmarkStart w:id="284" w:name="_Toc318581172"/>
      <w:r>
        <w:rPr>
          <w:rFonts w:hint="eastAsia" w:ascii="宋体" w:hAnsi="宋体" w:eastAsia="宋体" w:cs="宋体"/>
          <w:color w:val="auto"/>
          <w:sz w:val="24"/>
        </w:rPr>
        <w:t>不利物质条件的其他情形和有关约定：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w:t>
      </w:r>
      <w:bookmarkEnd w:id="278"/>
      <w:bookmarkEnd w:id="279"/>
      <w:bookmarkEnd w:id="280"/>
      <w:bookmarkEnd w:id="281"/>
      <w:bookmarkEnd w:id="282"/>
      <w:bookmarkEnd w:id="283"/>
      <w:bookmarkEnd w:id="284"/>
    </w:p>
    <w:p w14:paraId="4DCDD0E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w:t>
      </w:r>
      <w:bookmarkStart w:id="285" w:name="_Toc297216180"/>
      <w:bookmarkStart w:id="286" w:name="_Toc303539130"/>
      <w:bookmarkStart w:id="287" w:name="_Toc297123521"/>
      <w:bookmarkStart w:id="288" w:name="_Toc312678017"/>
      <w:bookmarkStart w:id="289" w:name="_Toc304295551"/>
      <w:bookmarkStart w:id="290" w:name="_Toc300934973"/>
      <w:r>
        <w:rPr>
          <w:rFonts w:hint="eastAsia" w:ascii="宋体" w:hAnsi="宋体" w:eastAsia="宋体" w:cs="宋体"/>
          <w:color w:val="auto"/>
          <w:sz w:val="24"/>
        </w:rPr>
        <w:t>.7异常恶劣的气候条件</w:t>
      </w:r>
      <w:bookmarkEnd w:id="285"/>
      <w:bookmarkEnd w:id="286"/>
      <w:bookmarkEnd w:id="287"/>
      <w:bookmarkEnd w:id="288"/>
      <w:bookmarkEnd w:id="289"/>
      <w:bookmarkEnd w:id="290"/>
    </w:p>
    <w:p w14:paraId="5268091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发包人和承包人同意以下情形视为异常恶劣的气候条件：</w:t>
      </w:r>
    </w:p>
    <w:p w14:paraId="1CC7464A">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（1）</w:t>
      </w:r>
      <w:r>
        <w:rPr>
          <w:rFonts w:hint="eastAsia" w:ascii="宋体" w:hAnsi="宋体" w:eastAsia="宋体" w:cs="宋体"/>
          <w:color w:val="auto"/>
          <w:sz w:val="24"/>
          <w:u w:val="single"/>
        </w:rPr>
        <w:t>日降雨量大于50mm的雨日超过1天；</w:t>
      </w:r>
    </w:p>
    <w:p w14:paraId="290A8141">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(2)</w:t>
      </w:r>
      <w:r>
        <w:rPr>
          <w:rFonts w:hint="eastAsia" w:ascii="宋体" w:hAnsi="宋体" w:eastAsia="宋体" w:cs="宋体"/>
          <w:color w:val="auto"/>
          <w:sz w:val="24"/>
          <w:u w:val="single"/>
        </w:rPr>
        <w:t>6级以上台风灾害；</w:t>
      </w:r>
    </w:p>
    <w:p w14:paraId="40B1A6E1">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（3）</w:t>
      </w:r>
      <w:r>
        <w:rPr>
          <w:rFonts w:hint="eastAsia" w:ascii="宋体" w:hAnsi="宋体" w:eastAsia="宋体" w:cs="宋体"/>
          <w:color w:val="auto"/>
          <w:sz w:val="24"/>
          <w:u w:val="single"/>
        </w:rPr>
        <w:t>日气温超过38℃ 的高温大于3天；</w:t>
      </w:r>
    </w:p>
    <w:p w14:paraId="67F30E69">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（4）</w:t>
      </w:r>
      <w:r>
        <w:rPr>
          <w:rFonts w:hint="eastAsia" w:ascii="宋体" w:hAnsi="宋体" w:eastAsia="宋体" w:cs="宋体"/>
          <w:color w:val="auto"/>
          <w:sz w:val="24"/>
          <w:u w:val="single"/>
        </w:rPr>
        <w:t>日气温低于－20℃的严寒大于3天；</w:t>
      </w:r>
    </w:p>
    <w:p w14:paraId="0F5E9F3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u w:val="single"/>
        </w:rPr>
        <w:t>造成工程损坏的冰雹和大雪灾害：日降雪量10mm及以上。</w:t>
      </w:r>
    </w:p>
    <w:p w14:paraId="7C8A5CB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7.8 提前竣工的奖励</w:t>
      </w:r>
    </w:p>
    <w:p w14:paraId="24718CE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7.8.1提前竣工的奖励：</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w:t>
      </w:r>
    </w:p>
    <w:p w14:paraId="692BA0B4">
      <w:pPr>
        <w:pStyle w:val="5"/>
        <w:spacing w:before="0" w:after="0" w:line="360" w:lineRule="auto"/>
        <w:ind w:firstLine="482"/>
        <w:rPr>
          <w:rFonts w:hint="eastAsia" w:ascii="宋体" w:hAnsi="宋体" w:eastAsia="宋体" w:cs="宋体"/>
          <w:color w:val="auto"/>
          <w:sz w:val="24"/>
          <w:szCs w:val="24"/>
        </w:rPr>
      </w:pPr>
      <w:bookmarkStart w:id="291" w:name="_Toc351203640"/>
      <w:r>
        <w:rPr>
          <w:rFonts w:hint="eastAsia" w:ascii="宋体" w:hAnsi="宋体" w:eastAsia="宋体" w:cs="宋体"/>
          <w:color w:val="auto"/>
          <w:sz w:val="24"/>
          <w:szCs w:val="24"/>
        </w:rPr>
        <w:t>8、材料与设备</w:t>
      </w:r>
      <w:bookmarkEnd w:id="291"/>
    </w:p>
    <w:p w14:paraId="65618DED">
      <w:pPr>
        <w:spacing w:line="360" w:lineRule="auto"/>
        <w:ind w:firstLine="480"/>
        <w:rPr>
          <w:rFonts w:hint="eastAsia" w:ascii="宋体" w:hAnsi="宋体" w:eastAsia="宋体" w:cs="宋体"/>
          <w:color w:val="auto"/>
          <w:sz w:val="24"/>
        </w:rPr>
      </w:pPr>
      <w:bookmarkStart w:id="292" w:name="_Toc296346669"/>
      <w:bookmarkStart w:id="293" w:name="_Toc300934980"/>
      <w:bookmarkStart w:id="294" w:name="_Toc297123528"/>
      <w:bookmarkStart w:id="295" w:name="_Toc312678020"/>
      <w:bookmarkStart w:id="296" w:name="_Toc304295557"/>
      <w:bookmarkStart w:id="297" w:name="_Toc296503168"/>
      <w:bookmarkStart w:id="298" w:name="_Toc296891208"/>
      <w:bookmarkStart w:id="299" w:name="_Toc296890996"/>
      <w:bookmarkStart w:id="300" w:name="_Toc312677494"/>
      <w:bookmarkStart w:id="301" w:name="_Toc296944507"/>
      <w:bookmarkStart w:id="302" w:name="_Toc296347167"/>
      <w:bookmarkStart w:id="303" w:name="_Toc297120468"/>
      <w:bookmarkStart w:id="304" w:name="_Toc303539137"/>
      <w:bookmarkStart w:id="305" w:name="_Toc297216187"/>
      <w:bookmarkStart w:id="306" w:name="_Toc297048354"/>
      <w:bookmarkStart w:id="307" w:name="_Toc318581173"/>
      <w:r>
        <w:rPr>
          <w:rFonts w:hint="eastAsia" w:ascii="宋体" w:hAnsi="宋体" w:eastAsia="宋体" w:cs="宋体"/>
          <w:color w:val="auto"/>
          <w:sz w:val="24"/>
        </w:rPr>
        <w:t>8.1 施工设备和临时设施</w:t>
      </w:r>
    </w:p>
    <w:p w14:paraId="077E9C5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8.1.1 承包人提供的施工设备和临时设施关于修建临时设施费用承担的约定：</w:t>
      </w:r>
      <w:r>
        <w:rPr>
          <w:rFonts w:hint="eastAsia" w:ascii="宋体" w:hAnsi="宋体" w:eastAsia="宋体" w:cs="宋体"/>
          <w:color w:val="auto"/>
          <w:sz w:val="24"/>
          <w:u w:val="single"/>
        </w:rPr>
        <w:t>由承包人承担</w:t>
      </w:r>
      <w:r>
        <w:rPr>
          <w:rFonts w:hint="eastAsia" w:ascii="宋体" w:hAnsi="宋体" w:eastAsia="宋体" w:cs="宋体"/>
          <w:color w:val="auto"/>
          <w:sz w:val="24"/>
        </w:rPr>
        <w:t>。</w:t>
      </w:r>
      <w:bookmarkEnd w:id="174"/>
      <w:bookmarkEnd w:id="175"/>
      <w:bookmarkEnd w:id="176"/>
      <w:bookmarkEnd w:id="177"/>
      <w:bookmarkEnd w:id="178"/>
      <w:bookmarkEnd w:id="179"/>
      <w:bookmarkEnd w:id="180"/>
      <w:bookmarkEnd w:id="181"/>
      <w:bookmarkEnd w:id="182"/>
      <w:bookmarkEnd w:id="183"/>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519D9F10">
      <w:pPr>
        <w:pStyle w:val="5"/>
        <w:spacing w:before="0" w:after="0" w:line="360" w:lineRule="auto"/>
        <w:ind w:firstLine="482"/>
        <w:rPr>
          <w:rFonts w:hint="eastAsia" w:ascii="宋体" w:hAnsi="宋体" w:eastAsia="宋体" w:cs="宋体"/>
          <w:color w:val="auto"/>
          <w:sz w:val="24"/>
          <w:szCs w:val="24"/>
        </w:rPr>
      </w:pPr>
      <w:bookmarkStart w:id="308" w:name="_Toc280868656"/>
      <w:bookmarkStart w:id="309" w:name="_Toc267251424"/>
      <w:bookmarkStart w:id="310" w:name="_Toc280868655"/>
      <w:bookmarkStart w:id="311" w:name="_Toc351203641"/>
      <w:r>
        <w:rPr>
          <w:rFonts w:hint="eastAsia" w:ascii="宋体" w:hAnsi="宋体" w:eastAsia="宋体" w:cs="宋体"/>
          <w:color w:val="auto"/>
          <w:sz w:val="24"/>
          <w:szCs w:val="24"/>
        </w:rPr>
        <w:t>9</w:t>
      </w:r>
      <w:bookmarkEnd w:id="308"/>
      <w:bookmarkEnd w:id="309"/>
      <w:bookmarkEnd w:id="310"/>
      <w:bookmarkStart w:id="312" w:name="_Toc312678021"/>
      <w:bookmarkStart w:id="313" w:name="_Toc303539139"/>
      <w:bookmarkStart w:id="314" w:name="_Toc312677495"/>
      <w:bookmarkStart w:id="315" w:name="_Toc297123533"/>
      <w:bookmarkStart w:id="316" w:name="_Toc297216192"/>
      <w:bookmarkStart w:id="317" w:name="_Toc300934982"/>
      <w:bookmarkStart w:id="318" w:name="_Toc304295559"/>
      <w:bookmarkStart w:id="319" w:name="_Toc296944512"/>
      <w:bookmarkStart w:id="320" w:name="_Toc292559378"/>
      <w:bookmarkStart w:id="321" w:name="_Toc297120473"/>
      <w:bookmarkStart w:id="322" w:name="_Toc296346674"/>
      <w:bookmarkStart w:id="323" w:name="_Toc292559883"/>
      <w:bookmarkStart w:id="324" w:name="_Toc296891001"/>
      <w:bookmarkStart w:id="325" w:name="_Toc267251428"/>
      <w:bookmarkStart w:id="326" w:name="_Toc267251427"/>
      <w:bookmarkStart w:id="327" w:name="_Toc296503173"/>
      <w:bookmarkStart w:id="328" w:name="_Toc296891213"/>
      <w:bookmarkStart w:id="329" w:name="_Toc296347172"/>
      <w:bookmarkStart w:id="330" w:name="_Toc297048359"/>
      <w:r>
        <w:rPr>
          <w:rFonts w:hint="eastAsia" w:ascii="宋体" w:hAnsi="宋体" w:eastAsia="宋体" w:cs="宋体"/>
          <w:color w:val="auto"/>
          <w:sz w:val="24"/>
          <w:szCs w:val="24"/>
        </w:rPr>
        <w:t>、试验与检验</w:t>
      </w:r>
      <w:bookmarkEnd w:id="311"/>
      <w:bookmarkEnd w:id="312"/>
      <w:bookmarkEnd w:id="313"/>
      <w:bookmarkEnd w:id="314"/>
      <w:bookmarkEnd w:id="315"/>
      <w:bookmarkEnd w:id="316"/>
      <w:bookmarkEnd w:id="317"/>
      <w:bookmarkEnd w:id="318"/>
    </w:p>
    <w:p w14:paraId="58DF3D9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9</w:t>
      </w:r>
      <w:bookmarkStart w:id="331" w:name="_Toc312677496"/>
      <w:bookmarkStart w:id="332" w:name="_Toc297123534"/>
      <w:bookmarkStart w:id="333" w:name="_Toc303539140"/>
      <w:bookmarkStart w:id="334" w:name="_Toc312678022"/>
      <w:bookmarkStart w:id="335" w:name="_Toc304295560"/>
      <w:bookmarkStart w:id="336" w:name="_Toc297216193"/>
      <w:bookmarkStart w:id="337" w:name="_Toc300934983"/>
      <w:r>
        <w:rPr>
          <w:rFonts w:hint="eastAsia" w:ascii="宋体" w:hAnsi="宋体" w:eastAsia="宋体" w:cs="宋体"/>
          <w:color w:val="auto"/>
          <w:sz w:val="24"/>
        </w:rPr>
        <w:t>.1试验设备与试验人员</w:t>
      </w:r>
      <w:bookmarkEnd w:id="331"/>
      <w:bookmarkEnd w:id="332"/>
      <w:bookmarkEnd w:id="333"/>
      <w:bookmarkEnd w:id="334"/>
      <w:bookmarkEnd w:id="335"/>
      <w:bookmarkEnd w:id="336"/>
      <w:bookmarkEnd w:id="337"/>
    </w:p>
    <w:p w14:paraId="36C8DD4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9</w:t>
      </w:r>
      <w:bookmarkStart w:id="338" w:name="_Toc312678023"/>
      <w:bookmarkStart w:id="339" w:name="_Toc304295561"/>
      <w:bookmarkStart w:id="340" w:name="_Toc297123535"/>
      <w:bookmarkStart w:id="341" w:name="_Toc312677497"/>
      <w:bookmarkStart w:id="342" w:name="_Toc297216194"/>
      <w:bookmarkStart w:id="343" w:name="_Toc300934984"/>
      <w:bookmarkStart w:id="344" w:name="_Toc303539141"/>
      <w:bookmarkStart w:id="345" w:name="_Toc318581174"/>
      <w:r>
        <w:rPr>
          <w:rFonts w:hint="eastAsia" w:ascii="宋体" w:hAnsi="宋体" w:eastAsia="宋体" w:cs="宋体"/>
          <w:color w:val="auto"/>
          <w:sz w:val="24"/>
        </w:rPr>
        <w:t>.1.1 试验设备</w:t>
      </w:r>
    </w:p>
    <w:p w14:paraId="038A13A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施工现场需要配置的试验场所：</w:t>
      </w:r>
      <w:bookmarkEnd w:id="338"/>
      <w:bookmarkEnd w:id="339"/>
      <w:bookmarkEnd w:id="340"/>
      <w:bookmarkEnd w:id="341"/>
      <w:bookmarkEnd w:id="342"/>
      <w:bookmarkEnd w:id="343"/>
      <w:bookmarkEnd w:id="344"/>
      <w:bookmarkStart w:id="346" w:name="_Toc312678024"/>
      <w:bookmarkStart w:id="347" w:name="_Toc300934985"/>
      <w:bookmarkStart w:id="348" w:name="_Toc297216195"/>
      <w:bookmarkStart w:id="349" w:name="_Toc312677498"/>
      <w:bookmarkStart w:id="350" w:name="_Toc303539142"/>
      <w:bookmarkStart w:id="351" w:name="_Toc297123536"/>
      <w:bookmarkStart w:id="352" w:name="_Toc304295562"/>
      <w:r>
        <w:rPr>
          <w:rFonts w:hint="eastAsia" w:ascii="宋体" w:hAnsi="宋体" w:eastAsia="宋体" w:cs="宋体"/>
          <w:color w:val="auto"/>
          <w:sz w:val="24"/>
          <w:u w:val="single"/>
        </w:rPr>
        <w:t>由承包人提供</w:t>
      </w:r>
      <w:r>
        <w:rPr>
          <w:rFonts w:hint="eastAsia" w:ascii="宋体" w:hAnsi="宋体" w:eastAsia="宋体" w:cs="宋体"/>
          <w:color w:val="auto"/>
          <w:sz w:val="24"/>
        </w:rPr>
        <w:t xml:space="preserve">。 </w:t>
      </w:r>
    </w:p>
    <w:p w14:paraId="06B82E7C">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施工现场需要配备的试验设备：</w:t>
      </w:r>
      <w:r>
        <w:rPr>
          <w:rFonts w:hint="eastAsia" w:ascii="宋体" w:hAnsi="宋体" w:eastAsia="宋体" w:cs="宋体"/>
          <w:color w:val="auto"/>
          <w:sz w:val="24"/>
          <w:u w:val="single"/>
        </w:rPr>
        <w:t>由承包人提供。</w:t>
      </w:r>
    </w:p>
    <w:p w14:paraId="2A98078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施工现场需要具备的其他试验条件：</w:t>
      </w:r>
      <w:r>
        <w:rPr>
          <w:rFonts w:hint="eastAsia" w:ascii="宋体" w:hAnsi="宋体" w:eastAsia="宋体" w:cs="宋体"/>
          <w:color w:val="auto"/>
          <w:sz w:val="24"/>
          <w:u w:val="single"/>
        </w:rPr>
        <w:t>由承包人提供</w:t>
      </w:r>
      <w:r>
        <w:rPr>
          <w:rFonts w:hint="eastAsia" w:ascii="宋体" w:hAnsi="宋体" w:eastAsia="宋体" w:cs="宋体"/>
          <w:color w:val="auto"/>
          <w:sz w:val="24"/>
        </w:rPr>
        <w:t>。</w:t>
      </w:r>
    </w:p>
    <w:p w14:paraId="2768161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9.2 现场工艺试验 </w:t>
      </w:r>
    </w:p>
    <w:p w14:paraId="3A1133A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现场工艺试验的有关约定：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w:t>
      </w:r>
      <w:bookmarkEnd w:id="345"/>
      <w:bookmarkEnd w:id="346"/>
      <w:bookmarkEnd w:id="347"/>
      <w:bookmarkEnd w:id="348"/>
      <w:bookmarkEnd w:id="349"/>
      <w:bookmarkEnd w:id="350"/>
      <w:bookmarkEnd w:id="351"/>
      <w:bookmarkEnd w:id="352"/>
    </w:p>
    <w:p w14:paraId="4A2158BA">
      <w:pPr>
        <w:pStyle w:val="5"/>
        <w:spacing w:before="0" w:after="0" w:line="360" w:lineRule="auto"/>
        <w:ind w:firstLine="482"/>
        <w:rPr>
          <w:rFonts w:hint="eastAsia" w:ascii="宋体" w:hAnsi="宋体" w:eastAsia="宋体" w:cs="宋体"/>
          <w:color w:val="auto"/>
          <w:sz w:val="24"/>
          <w:szCs w:val="24"/>
        </w:rPr>
      </w:pPr>
      <w:bookmarkStart w:id="353" w:name="_Toc351203642"/>
      <w:r>
        <w:rPr>
          <w:rFonts w:hint="eastAsia" w:ascii="宋体" w:hAnsi="宋体" w:eastAsia="宋体" w:cs="宋体"/>
          <w:color w:val="auto"/>
          <w:sz w:val="24"/>
          <w:szCs w:val="24"/>
        </w:rPr>
        <w:t>1</w:t>
      </w:r>
      <w:bookmarkEnd w:id="319"/>
      <w:bookmarkEnd w:id="320"/>
      <w:bookmarkEnd w:id="321"/>
      <w:bookmarkEnd w:id="322"/>
      <w:bookmarkEnd w:id="323"/>
      <w:bookmarkEnd w:id="324"/>
      <w:bookmarkEnd w:id="325"/>
      <w:bookmarkEnd w:id="326"/>
      <w:bookmarkEnd w:id="327"/>
      <w:bookmarkEnd w:id="328"/>
      <w:bookmarkEnd w:id="329"/>
      <w:bookmarkEnd w:id="330"/>
      <w:bookmarkStart w:id="354" w:name="_Toc296346694"/>
      <w:bookmarkStart w:id="355" w:name="_Toc292559903"/>
      <w:bookmarkStart w:id="356" w:name="_Toc297120493"/>
      <w:bookmarkStart w:id="357" w:name="_Toc297216199"/>
      <w:bookmarkStart w:id="358" w:name="_Toc296891233"/>
      <w:bookmarkStart w:id="359" w:name="_Toc303539146"/>
      <w:bookmarkStart w:id="360" w:name="_Toc297048379"/>
      <w:bookmarkStart w:id="361" w:name="_Toc312678025"/>
      <w:bookmarkStart w:id="362" w:name="_Toc292559398"/>
      <w:bookmarkStart w:id="363" w:name="_Toc300934989"/>
      <w:bookmarkStart w:id="364" w:name="_Toc296347192"/>
      <w:bookmarkStart w:id="365" w:name="_Toc296944532"/>
      <w:bookmarkStart w:id="366" w:name="_Toc312677499"/>
      <w:bookmarkStart w:id="367" w:name="_Toc297123540"/>
      <w:bookmarkStart w:id="368" w:name="_Toc296891021"/>
      <w:bookmarkStart w:id="369" w:name="_Toc304295566"/>
      <w:bookmarkStart w:id="370" w:name="_Toc296503193"/>
      <w:bookmarkStart w:id="371" w:name="_Toc267251433"/>
      <w:bookmarkStart w:id="372" w:name="_Toc267251439"/>
      <w:bookmarkStart w:id="373" w:name="_Toc267251441"/>
      <w:bookmarkStart w:id="374" w:name="_Toc267251435"/>
      <w:bookmarkStart w:id="375" w:name="_Toc267251437"/>
      <w:bookmarkStart w:id="376" w:name="_Toc267251440"/>
      <w:bookmarkStart w:id="377" w:name="_Toc267251442"/>
      <w:r>
        <w:rPr>
          <w:rFonts w:hint="eastAsia" w:ascii="宋体" w:hAnsi="宋体" w:eastAsia="宋体" w:cs="宋体"/>
          <w:color w:val="auto"/>
          <w:sz w:val="24"/>
          <w:szCs w:val="24"/>
        </w:rPr>
        <w:t>0、变更</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21A2FCC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w:t>
      </w:r>
      <w:bookmarkStart w:id="378" w:name="_Toc297048380"/>
      <w:bookmarkStart w:id="379" w:name="_Toc297120494"/>
      <w:bookmarkStart w:id="380" w:name="_Toc292559904"/>
      <w:bookmarkStart w:id="381" w:name="_Toc296346695"/>
      <w:bookmarkStart w:id="382" w:name="_Toc300934990"/>
      <w:bookmarkStart w:id="383" w:name="_Toc312678026"/>
      <w:bookmarkStart w:id="384" w:name="_Toc296891234"/>
      <w:bookmarkStart w:id="385" w:name="_Toc292559399"/>
      <w:bookmarkStart w:id="386" w:name="_Toc312677500"/>
      <w:bookmarkStart w:id="387" w:name="_Toc296347193"/>
      <w:bookmarkStart w:id="388" w:name="_Toc297216200"/>
      <w:bookmarkStart w:id="389" w:name="_Toc304295567"/>
      <w:bookmarkStart w:id="390" w:name="_Toc296503194"/>
      <w:bookmarkStart w:id="391" w:name="_Toc296891022"/>
      <w:bookmarkStart w:id="392" w:name="_Toc303539147"/>
      <w:bookmarkStart w:id="393" w:name="_Toc296944533"/>
      <w:bookmarkStart w:id="394" w:name="_Toc297123541"/>
      <w:r>
        <w:rPr>
          <w:rFonts w:hint="eastAsia" w:ascii="宋体" w:hAnsi="宋体" w:eastAsia="宋体" w:cs="宋体"/>
          <w:color w:val="auto"/>
          <w:sz w:val="24"/>
        </w:rPr>
        <w:t>0.1变更的范围</w:t>
      </w:r>
    </w:p>
    <w:p w14:paraId="730D827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关于变更的范围的约定：</w:t>
      </w:r>
      <w:r>
        <w:rPr>
          <w:rFonts w:hint="eastAsia" w:ascii="宋体" w:hAnsi="宋体" w:eastAsia="宋体" w:cs="宋体"/>
          <w:color w:val="auto"/>
          <w:sz w:val="24"/>
          <w:u w:val="single"/>
        </w:rPr>
        <w:t>按通用条款执行</w:t>
      </w:r>
      <w:r>
        <w:rPr>
          <w:rFonts w:hint="eastAsia" w:ascii="宋体" w:hAnsi="宋体" w:eastAsia="宋体" w:cs="宋体"/>
          <w:color w:val="auto"/>
          <w:sz w:val="24"/>
        </w:rPr>
        <w:t>。</w:t>
      </w:r>
    </w:p>
    <w:p w14:paraId="6D20124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10.2 变更估价</w:t>
      </w:r>
    </w:p>
    <w:p w14:paraId="2D50970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10.2.1 变更估价原则</w:t>
      </w:r>
    </w:p>
    <w:p w14:paraId="7B57A82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关于变更估价的约定： </w:t>
      </w:r>
    </w:p>
    <w:p w14:paraId="4598D77A">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原则1、本工程实际施工中所涉及的一切设计变更需发包人、设计单位、监理单位共同签字后方可执行，并以设计单位出具的正式书面文件为准。设计变更若不经发包人认可，则无效。</w:t>
      </w:r>
    </w:p>
    <w:p w14:paraId="4BB2BF74">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原则2、本工程实际施工中所涉及的一切现场签证应由承包人书面申报、监理工程师签字、跟踪审计人员签字以及发包人认可并签字后方可生效，否则结算时不得作为结算依据。</w:t>
      </w:r>
    </w:p>
    <w:p w14:paraId="7EE2F26B">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原则3、本工程发生的变更及现场签证等内容每十五天进行确认，其签证款项待结算时一起支付。</w:t>
      </w:r>
    </w:p>
    <w:p w14:paraId="2B210363">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相关细则：</w:t>
      </w:r>
    </w:p>
    <w:p w14:paraId="241923C4">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⑴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p>
    <w:p w14:paraId="0326AA56">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⑵若施工中出现施工图纸（含设计变更）与工程量清单项目特征描述不符的， 应以施工图纸（含设计变更）进行施工，并按新的项目特征确定相应工程量清单项目的综合单价。</w:t>
      </w:r>
    </w:p>
    <w:p w14:paraId="7C547633">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⑶因分部分项工程量清单漏项或非承包人原因的工程变更，造成增加新的工程量清单项目，其对应的综合单价按下列方法确定：</w:t>
      </w:r>
    </w:p>
    <w:p w14:paraId="25BBC9CE">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①合同中已有适用的综合单价，按合同中已有的综合单价确定；</w:t>
      </w:r>
    </w:p>
    <w:p w14:paraId="0E352AF4">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（指其采用的材料、施工工艺和方法相同，亦不因此增加关键线路上工程的施工时间）</w:t>
      </w:r>
    </w:p>
    <w:p w14:paraId="38EDF6A1">
      <w:pPr>
        <w:spacing w:line="360" w:lineRule="auto"/>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②合同中有类似的综合单价，参照类似的综合单价确定；</w:t>
      </w:r>
    </w:p>
    <w:p w14:paraId="140C85C3">
      <w:pPr>
        <w:spacing w:line="360" w:lineRule="auto"/>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（指其采用的材料、施工工艺和方法基本相似，不因此增加关键线路上工程的施工时间，仅调整材料价差，其余不调整）</w:t>
      </w:r>
    </w:p>
    <w:p w14:paraId="4D5D29EB">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③合同中没有适用或类似的综合单价，按以下方法确定综合单价：</w:t>
      </w:r>
    </w:p>
    <w:p w14:paraId="58D957F0">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按《建设工程工程量清单计价规范》(</w:t>
      </w:r>
      <w:r>
        <w:rPr>
          <w:rFonts w:hint="eastAsia" w:ascii="宋体" w:hAnsi="宋体" w:cs="宋体"/>
          <w:b/>
          <w:bCs/>
          <w:color w:val="auto"/>
          <w:sz w:val="24"/>
          <w:highlight w:val="none"/>
          <w:lang w:eastAsia="zh-CN"/>
        </w:rPr>
        <w:t>GB50500-2024</w:t>
      </w:r>
      <w:r>
        <w:rPr>
          <w:rFonts w:hint="eastAsia" w:ascii="宋体" w:hAnsi="宋体" w:eastAsia="宋体" w:cs="宋体"/>
          <w:b/>
          <w:bCs/>
          <w:color w:val="auto"/>
          <w:sz w:val="24"/>
          <w:highlight w:val="none"/>
        </w:rPr>
        <w:t>)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p>
    <w:p w14:paraId="3FC102C7">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⑷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p>
    <w:p w14:paraId="143271AA">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⑸承包人施工及生活用水用电费，根据其耗电用量及供水供电部门所收取的标准，加上公共分摊的部分，由发包人向承包人收取。</w:t>
      </w:r>
    </w:p>
    <w:p w14:paraId="5ABECEB6">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⑹因不可抗力事件导致的费用，发、承包双方应按以下原则分别承担并调整工程价款：</w:t>
      </w:r>
    </w:p>
    <w:p w14:paraId="2B29A325">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①本工程因发包人原因造成的损害、因工程损害导致第三方人员伤亡和财产损失以及运至施工现场用于施工的材料和待安装的设备的损害，由发包人承担；</w:t>
      </w:r>
    </w:p>
    <w:p w14:paraId="0A2333E0">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②承包人人员伤亡由其所在单位负责，并承担相应费用，与发包人无关；</w:t>
      </w:r>
    </w:p>
    <w:p w14:paraId="39B07F09">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③承包人的施工机械设备的损坏及停工损失，由承包人承担；</w:t>
      </w:r>
    </w:p>
    <w:p w14:paraId="021426FE">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④停工期间，承包人应发包人要求留在施工现场的必要的管理人员及保卫人员的工费用，由发包人承担；</w:t>
      </w:r>
    </w:p>
    <w:p w14:paraId="3C8F8B0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Start w:id="395" w:name="_Toc292559402"/>
      <w:bookmarkStart w:id="396" w:name="_Toc296503197"/>
      <w:bookmarkStart w:id="397" w:name="_Toc296346698"/>
      <w:bookmarkStart w:id="398" w:name="_Toc296891237"/>
      <w:bookmarkStart w:id="399" w:name="_Toc292559907"/>
      <w:bookmarkStart w:id="400" w:name="_Toc296944536"/>
      <w:bookmarkStart w:id="401" w:name="_Toc300934993"/>
      <w:bookmarkStart w:id="402" w:name="_Toc296891025"/>
      <w:bookmarkStart w:id="403" w:name="_Toc303539150"/>
      <w:bookmarkStart w:id="404" w:name="_Toc297216203"/>
      <w:bookmarkStart w:id="405" w:name="_Toc297123544"/>
      <w:bookmarkStart w:id="406" w:name="_Toc296347196"/>
      <w:bookmarkStart w:id="407" w:name="_Toc297048383"/>
      <w:bookmarkStart w:id="408" w:name="_Toc297120497"/>
      <w:bookmarkStart w:id="409" w:name="_Toc312678029"/>
      <w:bookmarkStart w:id="410" w:name="_Toc312677503"/>
      <w:bookmarkStart w:id="411" w:name="_Toc304295570"/>
      <w:r>
        <w:rPr>
          <w:rFonts w:hint="eastAsia" w:ascii="宋体" w:hAnsi="宋体" w:eastAsia="宋体" w:cs="宋体"/>
          <w:color w:val="auto"/>
          <w:sz w:val="24"/>
          <w:highlight w:val="none"/>
        </w:rPr>
        <w:t>0.3承</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Start w:id="412" w:name="_Toc296503203"/>
      <w:bookmarkStart w:id="413" w:name="_Toc296347202"/>
      <w:bookmarkStart w:id="414" w:name="_Toc297123545"/>
      <w:bookmarkStart w:id="415" w:name="_Toc296944542"/>
      <w:bookmarkStart w:id="416" w:name="_Toc292559408"/>
      <w:bookmarkStart w:id="417" w:name="_Toc300934994"/>
      <w:bookmarkStart w:id="418" w:name="_Toc297216204"/>
      <w:bookmarkStart w:id="419" w:name="_Toc296346704"/>
      <w:bookmarkStart w:id="420" w:name="_Toc296891243"/>
      <w:bookmarkStart w:id="421" w:name="_Toc297120503"/>
      <w:bookmarkStart w:id="422" w:name="_Toc303539151"/>
      <w:bookmarkStart w:id="423" w:name="_Toc296891031"/>
      <w:bookmarkStart w:id="424" w:name="_Toc297048389"/>
      <w:bookmarkStart w:id="425" w:name="_Toc292559913"/>
      <w:r>
        <w:rPr>
          <w:rFonts w:hint="eastAsia" w:ascii="宋体" w:hAnsi="宋体" w:eastAsia="宋体" w:cs="宋体"/>
          <w:color w:val="auto"/>
          <w:sz w:val="24"/>
          <w:highlight w:val="none"/>
        </w:rPr>
        <w:t>包人的合理化建议</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14:paraId="429860B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监理人审查承包人合理化建议的期限：收到承包人提交的合理化建议后7日内 。</w:t>
      </w:r>
    </w:p>
    <w:p w14:paraId="786E5CA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发包人审批承包人合理化建议的期限：收到监理人报送的合理化建议后7日内 。</w:t>
      </w:r>
    </w:p>
    <w:p w14:paraId="071EA229">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承</w:t>
      </w:r>
      <w:bookmarkStart w:id="426" w:name="_Toc297216205"/>
      <w:bookmarkStart w:id="427" w:name="_Toc312678030"/>
      <w:bookmarkStart w:id="428" w:name="_Toc312677504"/>
      <w:bookmarkStart w:id="429" w:name="_Toc300934995"/>
      <w:bookmarkStart w:id="430" w:name="_Toc297048390"/>
      <w:bookmarkStart w:id="431" w:name="_Toc304295571"/>
      <w:bookmarkStart w:id="432" w:name="_Toc296503204"/>
      <w:bookmarkStart w:id="433" w:name="_Toc303539152"/>
      <w:bookmarkStart w:id="434" w:name="_Toc296346705"/>
      <w:bookmarkStart w:id="435" w:name="_Toc292559914"/>
      <w:bookmarkStart w:id="436" w:name="_Toc292559409"/>
      <w:bookmarkStart w:id="437" w:name="_Toc296891032"/>
      <w:bookmarkStart w:id="438" w:name="_Toc318581175"/>
      <w:bookmarkStart w:id="439" w:name="_Toc297120504"/>
      <w:bookmarkStart w:id="440" w:name="_Toc297123546"/>
      <w:bookmarkStart w:id="441" w:name="_Toc296347203"/>
      <w:bookmarkStart w:id="442" w:name="_Toc296891244"/>
      <w:bookmarkStart w:id="443" w:name="_Toc296944543"/>
      <w:r>
        <w:rPr>
          <w:rFonts w:hint="eastAsia" w:ascii="宋体" w:hAnsi="宋体" w:eastAsia="宋体" w:cs="宋体"/>
          <w:color w:val="auto"/>
          <w:sz w:val="24"/>
        </w:rPr>
        <w:t>包人提出的合理化建议降低了合同价格或者提高了工程经济效益的奖励的方法和金额为：</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14:paraId="380DEA0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w:t>
      </w:r>
      <w:bookmarkStart w:id="444" w:name="_Toc297120499"/>
      <w:bookmarkStart w:id="445" w:name="_Toc297216207"/>
      <w:bookmarkStart w:id="446" w:name="_Toc300934997"/>
      <w:bookmarkStart w:id="447" w:name="_Toc296891239"/>
      <w:bookmarkStart w:id="448" w:name="_Toc297123548"/>
      <w:bookmarkStart w:id="449" w:name="_Toc292559909"/>
      <w:bookmarkStart w:id="450" w:name="_Toc312678033"/>
      <w:bookmarkStart w:id="451" w:name="_Toc297048385"/>
      <w:bookmarkStart w:id="452" w:name="_Toc296944538"/>
      <w:bookmarkStart w:id="453" w:name="_Toc312677507"/>
      <w:bookmarkStart w:id="454" w:name="_Toc296891027"/>
      <w:bookmarkStart w:id="455" w:name="_Toc296346700"/>
      <w:bookmarkStart w:id="456" w:name="_Toc296503199"/>
      <w:bookmarkStart w:id="457" w:name="_Toc292559404"/>
      <w:bookmarkStart w:id="458" w:name="_Toc303539154"/>
      <w:bookmarkStart w:id="459" w:name="_Toc304295574"/>
      <w:bookmarkStart w:id="460" w:name="_Toc296347198"/>
      <w:r>
        <w:rPr>
          <w:rFonts w:hint="eastAsia" w:ascii="宋体" w:hAnsi="宋体" w:eastAsia="宋体" w:cs="宋体"/>
          <w:color w:val="auto"/>
          <w:sz w:val="24"/>
        </w:rPr>
        <w:t>0.4暂估价</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p>
    <w:p w14:paraId="17FB4189">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暂</w:t>
      </w:r>
      <w:bookmarkStart w:id="461" w:name="_Toc312678034"/>
      <w:bookmarkStart w:id="462" w:name="_Toc312677508"/>
      <w:bookmarkStart w:id="463" w:name="_Toc318581176"/>
      <w:r>
        <w:rPr>
          <w:rFonts w:hint="eastAsia" w:ascii="宋体" w:hAnsi="宋体" w:eastAsia="宋体" w:cs="宋体"/>
          <w:color w:val="auto"/>
          <w:sz w:val="24"/>
        </w:rPr>
        <w:t>估价材料和工程设备的明细详见：</w:t>
      </w:r>
      <w:r>
        <w:rPr>
          <w:rFonts w:hint="eastAsia" w:ascii="宋体" w:hAnsi="宋体" w:eastAsia="宋体" w:cs="宋体"/>
          <w:color w:val="auto"/>
          <w:sz w:val="24"/>
          <w:u w:val="single"/>
        </w:rPr>
        <w:t>《暂估价一览表》。</w:t>
      </w:r>
      <w:bookmarkEnd w:id="461"/>
      <w:bookmarkEnd w:id="462"/>
      <w:bookmarkEnd w:id="463"/>
    </w:p>
    <w:p w14:paraId="00FBFDF9">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1</w:t>
      </w:r>
      <w:bookmarkStart w:id="464" w:name="_Toc318581177"/>
      <w:bookmarkStart w:id="465" w:name="_Toc312677509"/>
      <w:bookmarkStart w:id="466" w:name="_Toc312678035"/>
      <w:r>
        <w:rPr>
          <w:rFonts w:hint="eastAsia" w:ascii="宋体" w:hAnsi="宋体" w:eastAsia="宋体" w:cs="宋体"/>
          <w:color w:val="auto"/>
          <w:sz w:val="24"/>
        </w:rPr>
        <w:t>0.4.1 依法必须招标的暂估价项目：</w:t>
      </w:r>
      <w:r>
        <w:rPr>
          <w:rFonts w:hint="eastAsia" w:ascii="宋体" w:hAnsi="宋体" w:eastAsia="宋体" w:cs="宋体"/>
          <w:color w:val="auto"/>
          <w:sz w:val="24"/>
          <w:u w:val="single"/>
        </w:rPr>
        <w:t xml:space="preserve">采用第2种方式 </w:t>
      </w:r>
      <w:bookmarkEnd w:id="464"/>
      <w:bookmarkEnd w:id="465"/>
      <w:bookmarkEnd w:id="466"/>
    </w:p>
    <w:p w14:paraId="55FE58B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p>
    <w:p w14:paraId="095E587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10.5 暂列金额</w:t>
      </w:r>
    </w:p>
    <w:p w14:paraId="4A45A28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合同当事人关于暂列金额使用的约定：</w:t>
      </w:r>
      <w:r>
        <w:rPr>
          <w:rFonts w:hint="eastAsia" w:ascii="宋体" w:hAnsi="宋体" w:eastAsia="宋体" w:cs="宋体"/>
          <w:color w:val="auto"/>
          <w:sz w:val="24"/>
          <w:u w:val="single"/>
        </w:rPr>
        <w:t xml:space="preserve">由发包人结合工程具体情况使用 </w:t>
      </w:r>
      <w:r>
        <w:rPr>
          <w:rFonts w:hint="eastAsia" w:ascii="宋体" w:hAnsi="宋体" w:eastAsia="宋体" w:cs="宋体"/>
          <w:color w:val="auto"/>
          <w:sz w:val="24"/>
        </w:rPr>
        <w:t>。</w:t>
      </w:r>
    </w:p>
    <w:p w14:paraId="361F56E1">
      <w:pPr>
        <w:pStyle w:val="5"/>
        <w:spacing w:before="0" w:after="0" w:line="360" w:lineRule="auto"/>
        <w:ind w:firstLine="482"/>
        <w:rPr>
          <w:rFonts w:hint="eastAsia" w:ascii="宋体" w:hAnsi="宋体" w:eastAsia="宋体" w:cs="宋体"/>
          <w:color w:val="auto"/>
          <w:sz w:val="24"/>
          <w:szCs w:val="24"/>
        </w:rPr>
      </w:pPr>
      <w:r>
        <w:rPr>
          <w:rFonts w:hint="eastAsia" w:ascii="宋体" w:hAnsi="宋体" w:eastAsia="宋体" w:cs="宋体"/>
          <w:color w:val="auto"/>
          <w:sz w:val="24"/>
          <w:szCs w:val="24"/>
        </w:rPr>
        <w:t>11、价格调整</w:t>
      </w:r>
    </w:p>
    <w:p w14:paraId="4B932163">
      <w:pPr>
        <w:spacing w:line="360" w:lineRule="auto"/>
        <w:ind w:firstLine="480"/>
        <w:rPr>
          <w:rFonts w:hint="eastAsia" w:ascii="宋体" w:hAnsi="宋体" w:eastAsia="宋体" w:cs="宋体"/>
          <w:color w:val="auto"/>
          <w:sz w:val="24"/>
        </w:rPr>
      </w:pPr>
      <w:bookmarkStart w:id="467" w:name="_Toc312678039"/>
      <w:bookmarkStart w:id="468" w:name="_Toc292559911"/>
      <w:bookmarkStart w:id="469" w:name="_Toc297123550"/>
      <w:bookmarkStart w:id="470" w:name="_Toc304295577"/>
      <w:bookmarkStart w:id="471" w:name="_Toc296944540"/>
      <w:bookmarkStart w:id="472" w:name="_Toc303539157"/>
      <w:bookmarkStart w:id="473" w:name="_Toc296347200"/>
      <w:bookmarkStart w:id="474" w:name="_Toc297120501"/>
      <w:bookmarkStart w:id="475" w:name="_Toc296503201"/>
      <w:bookmarkStart w:id="476" w:name="_Toc300935000"/>
      <w:bookmarkStart w:id="477" w:name="_Toc296891029"/>
      <w:bookmarkStart w:id="478" w:name="_Toc297048387"/>
      <w:bookmarkStart w:id="479" w:name="_Toc297216209"/>
      <w:bookmarkStart w:id="480" w:name="_Toc296891241"/>
      <w:bookmarkStart w:id="481" w:name="_Toc292559406"/>
      <w:bookmarkStart w:id="482" w:name="_Toc296346702"/>
      <w:r>
        <w:rPr>
          <w:rFonts w:hint="eastAsia" w:ascii="宋体" w:hAnsi="宋体" w:eastAsia="宋体" w:cs="宋体"/>
          <w:color w:val="auto"/>
          <w:sz w:val="24"/>
        </w:rPr>
        <w:t>11.1 市场价格波动引起的调整</w:t>
      </w:r>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p>
    <w:p w14:paraId="0EF944B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市场价格波动是否调整合同价格的约定：</w:t>
      </w:r>
      <w:r>
        <w:rPr>
          <w:rFonts w:hint="eastAsia" w:ascii="宋体" w:hAnsi="宋体" w:eastAsia="宋体" w:cs="宋体"/>
          <w:color w:val="auto"/>
          <w:sz w:val="24"/>
          <w:u w:val="single"/>
        </w:rPr>
        <w:t xml:space="preserve">  不调整  </w:t>
      </w:r>
      <w:r>
        <w:rPr>
          <w:rFonts w:hint="eastAsia" w:ascii="宋体" w:hAnsi="宋体" w:eastAsia="宋体" w:cs="宋体"/>
          <w:color w:val="auto"/>
          <w:sz w:val="24"/>
        </w:rPr>
        <w:t>。</w:t>
      </w:r>
      <w:bookmarkEnd w:id="371"/>
      <w:bookmarkEnd w:id="372"/>
      <w:bookmarkEnd w:id="373"/>
      <w:bookmarkEnd w:id="374"/>
      <w:bookmarkEnd w:id="375"/>
      <w:bookmarkEnd w:id="376"/>
    </w:p>
    <w:p w14:paraId="6CD1E3EC">
      <w:pPr>
        <w:pStyle w:val="5"/>
        <w:spacing w:before="0" w:after="0" w:line="360" w:lineRule="auto"/>
        <w:ind w:firstLine="482"/>
        <w:rPr>
          <w:rFonts w:hint="eastAsia" w:ascii="宋体" w:hAnsi="宋体" w:eastAsia="宋体" w:cs="宋体"/>
          <w:color w:val="auto"/>
          <w:sz w:val="24"/>
          <w:szCs w:val="24"/>
        </w:rPr>
      </w:pPr>
      <w:bookmarkStart w:id="483" w:name="_Toc297120505"/>
      <w:bookmarkStart w:id="484" w:name="_Toc297048391"/>
      <w:bookmarkStart w:id="485" w:name="_Toc292559915"/>
      <w:bookmarkStart w:id="486" w:name="_Toc292559410"/>
      <w:bookmarkStart w:id="487" w:name="_Toc296346706"/>
      <w:bookmarkStart w:id="488" w:name="_Toc296891033"/>
      <w:bookmarkStart w:id="489" w:name="_Toc296503205"/>
      <w:bookmarkStart w:id="490" w:name="_Toc296347204"/>
      <w:bookmarkStart w:id="491" w:name="_Toc296944544"/>
      <w:bookmarkStart w:id="492" w:name="_Toc296891245"/>
      <w:bookmarkStart w:id="493" w:name="_Toc297123552"/>
      <w:bookmarkStart w:id="494" w:name="_Toc312678040"/>
      <w:bookmarkStart w:id="495" w:name="_Toc297216211"/>
      <w:bookmarkStart w:id="496" w:name="_Toc303539159"/>
      <w:bookmarkStart w:id="497" w:name="_Toc351203644"/>
      <w:bookmarkStart w:id="498" w:name="_Toc300935002"/>
      <w:bookmarkStart w:id="499" w:name="_Toc304295579"/>
      <w:r>
        <w:rPr>
          <w:rFonts w:hint="eastAsia" w:ascii="宋体" w:hAnsi="宋体" w:eastAsia="宋体" w:cs="宋体"/>
          <w:color w:val="auto"/>
          <w:sz w:val="24"/>
          <w:szCs w:val="24"/>
        </w:rPr>
        <w:t>12</w:t>
      </w:r>
      <w:bookmarkEnd w:id="483"/>
      <w:bookmarkEnd w:id="484"/>
      <w:bookmarkEnd w:id="485"/>
      <w:bookmarkEnd w:id="486"/>
      <w:bookmarkEnd w:id="487"/>
      <w:bookmarkEnd w:id="488"/>
      <w:bookmarkEnd w:id="489"/>
      <w:bookmarkEnd w:id="490"/>
      <w:bookmarkEnd w:id="491"/>
      <w:bookmarkEnd w:id="492"/>
      <w:r>
        <w:rPr>
          <w:rFonts w:hint="eastAsia" w:ascii="宋体" w:hAnsi="宋体" w:eastAsia="宋体" w:cs="宋体"/>
          <w:color w:val="auto"/>
          <w:sz w:val="24"/>
          <w:szCs w:val="24"/>
        </w:rPr>
        <w:t>、合同价格、计量与支付</w:t>
      </w:r>
      <w:bookmarkEnd w:id="493"/>
      <w:bookmarkEnd w:id="494"/>
      <w:bookmarkEnd w:id="495"/>
      <w:bookmarkEnd w:id="496"/>
      <w:bookmarkEnd w:id="497"/>
      <w:bookmarkEnd w:id="498"/>
      <w:bookmarkEnd w:id="499"/>
    </w:p>
    <w:p w14:paraId="6433CEEA">
      <w:pPr>
        <w:spacing w:line="360" w:lineRule="auto"/>
        <w:ind w:firstLine="480"/>
        <w:rPr>
          <w:rFonts w:hint="eastAsia" w:ascii="宋体" w:hAnsi="宋体" w:eastAsia="宋体" w:cs="宋体"/>
          <w:color w:val="auto"/>
          <w:sz w:val="24"/>
        </w:rPr>
      </w:pPr>
      <w:bookmarkStart w:id="500" w:name="_Toc292559916"/>
      <w:bookmarkStart w:id="501" w:name="_Toc267251461"/>
      <w:bookmarkStart w:id="502" w:name="_Toc292559411"/>
      <w:bookmarkStart w:id="503" w:name="_Toc296891034"/>
      <w:bookmarkStart w:id="504" w:name="_Toc297048392"/>
      <w:bookmarkStart w:id="505" w:name="_Toc296944545"/>
      <w:bookmarkStart w:id="506" w:name="_Toc296346707"/>
      <w:bookmarkStart w:id="507" w:name="_Toc296503206"/>
      <w:bookmarkStart w:id="508" w:name="_Toc297120506"/>
      <w:bookmarkStart w:id="509" w:name="_Toc296347205"/>
      <w:bookmarkStart w:id="510" w:name="_Toc296891246"/>
      <w:bookmarkStart w:id="511" w:name="_Toc304295580"/>
      <w:bookmarkStart w:id="512" w:name="_Toc297123553"/>
      <w:bookmarkStart w:id="513" w:name="_Toc303539160"/>
      <w:bookmarkStart w:id="514" w:name="_Toc297216212"/>
      <w:bookmarkStart w:id="515" w:name="_Toc300935003"/>
      <w:bookmarkStart w:id="516" w:name="_Toc312678041"/>
      <w:r>
        <w:rPr>
          <w:rFonts w:hint="eastAsia" w:ascii="宋体" w:hAnsi="宋体" w:eastAsia="宋体" w:cs="宋体"/>
          <w:color w:val="auto"/>
          <w:sz w:val="24"/>
        </w:rPr>
        <w:t>12.1 合</w:t>
      </w:r>
      <w:bookmarkEnd w:id="500"/>
      <w:bookmarkEnd w:id="501"/>
      <w:bookmarkEnd w:id="502"/>
      <w:r>
        <w:rPr>
          <w:rFonts w:hint="eastAsia" w:ascii="宋体" w:hAnsi="宋体" w:eastAsia="宋体" w:cs="宋体"/>
          <w:color w:val="auto"/>
          <w:sz w:val="24"/>
        </w:rPr>
        <w:t>同价</w:t>
      </w:r>
      <w:bookmarkEnd w:id="503"/>
      <w:bookmarkEnd w:id="504"/>
      <w:bookmarkEnd w:id="505"/>
      <w:bookmarkEnd w:id="506"/>
      <w:bookmarkEnd w:id="507"/>
      <w:bookmarkEnd w:id="508"/>
      <w:bookmarkEnd w:id="509"/>
      <w:bookmarkEnd w:id="510"/>
      <w:r>
        <w:rPr>
          <w:rFonts w:hint="eastAsia" w:ascii="宋体" w:hAnsi="宋体" w:eastAsia="宋体" w:cs="宋体"/>
          <w:color w:val="auto"/>
          <w:sz w:val="24"/>
        </w:rPr>
        <w:t>格形式</w:t>
      </w:r>
      <w:bookmarkEnd w:id="511"/>
      <w:bookmarkEnd w:id="512"/>
      <w:bookmarkEnd w:id="513"/>
      <w:bookmarkEnd w:id="514"/>
      <w:bookmarkEnd w:id="515"/>
      <w:bookmarkEnd w:id="516"/>
    </w:p>
    <w:p w14:paraId="5DA0348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(1)、本工程采用</w:t>
      </w:r>
      <w:r>
        <w:rPr>
          <w:rFonts w:hint="eastAsia" w:ascii="宋体" w:hAnsi="宋体" w:eastAsia="宋体" w:cs="宋体"/>
          <w:b/>
          <w:color w:val="auto"/>
          <w:sz w:val="24"/>
        </w:rPr>
        <w:t>固定单价合同。</w:t>
      </w:r>
    </w:p>
    <w:p w14:paraId="7D86E2D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综合单价包含的风险范围：</w:t>
      </w:r>
      <w:r>
        <w:rPr>
          <w:rFonts w:hint="eastAsia" w:ascii="宋体" w:hAnsi="宋体" w:eastAsia="宋体" w:cs="宋体"/>
          <w:color w:val="auto"/>
          <w:sz w:val="24"/>
          <w:u w:val="single"/>
        </w:rPr>
        <w:t>施工期间市场风险、政策风险。</w:t>
      </w:r>
    </w:p>
    <w:p w14:paraId="12D10B7A">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风险费用的计算方法：</w:t>
      </w:r>
      <w:r>
        <w:rPr>
          <w:rFonts w:hint="eastAsia" w:ascii="宋体" w:hAnsi="宋体" w:eastAsia="宋体" w:cs="宋体"/>
          <w:color w:val="auto"/>
          <w:sz w:val="24"/>
          <w:u w:val="single"/>
        </w:rPr>
        <w:t>施工期间人工费、材料费、机械费及规费、税金的调整风险由供应商自行考虑。</w:t>
      </w:r>
    </w:p>
    <w:p w14:paraId="369AD18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rPr>
        <w:t>风险范围以外合同价格的调整方法：</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1DA9CA3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本工程结算时按照苏建函价【2019】178号文执行，采用一般计税法结算。</w:t>
      </w:r>
    </w:p>
    <w:p w14:paraId="6530417E">
      <w:pPr>
        <w:spacing w:line="360" w:lineRule="auto"/>
        <w:ind w:firstLine="480"/>
        <w:rPr>
          <w:rFonts w:hint="eastAsia" w:ascii="宋体" w:hAnsi="宋体" w:eastAsia="宋体" w:cs="宋体"/>
          <w:color w:val="auto"/>
          <w:sz w:val="24"/>
        </w:rPr>
      </w:pPr>
      <w:bookmarkStart w:id="517" w:name="_Toc304295581"/>
      <w:bookmarkStart w:id="518" w:name="_Toc300935004"/>
      <w:bookmarkStart w:id="519" w:name="_Toc312678042"/>
      <w:bookmarkStart w:id="520" w:name="_Toc297216213"/>
      <w:bookmarkStart w:id="521" w:name="_Toc303539161"/>
      <w:bookmarkStart w:id="522" w:name="_Toc297123554"/>
      <w:bookmarkStart w:id="523" w:name="_Toc297048393"/>
      <w:bookmarkStart w:id="524" w:name="_Toc296503207"/>
      <w:bookmarkStart w:id="525" w:name="_Toc296944546"/>
      <w:bookmarkStart w:id="526" w:name="_Toc292559917"/>
      <w:bookmarkStart w:id="527" w:name="_Toc297120507"/>
      <w:bookmarkStart w:id="528" w:name="_Toc292559412"/>
      <w:bookmarkStart w:id="529" w:name="_Toc296891247"/>
      <w:bookmarkStart w:id="530" w:name="_Toc296347206"/>
      <w:bookmarkStart w:id="531" w:name="_Toc296891035"/>
      <w:bookmarkStart w:id="532" w:name="_Toc296346708"/>
      <w:r>
        <w:rPr>
          <w:rFonts w:hint="eastAsia" w:ascii="宋体" w:hAnsi="宋体" w:eastAsia="宋体" w:cs="宋体"/>
          <w:color w:val="auto"/>
          <w:sz w:val="24"/>
        </w:rPr>
        <w:t>本工程采用“固定单价合同”。</w:t>
      </w:r>
    </w:p>
    <w:p w14:paraId="76B45EC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12.2 预付款</w:t>
      </w:r>
      <w:bookmarkEnd w:id="517"/>
      <w:bookmarkEnd w:id="518"/>
      <w:bookmarkEnd w:id="519"/>
      <w:bookmarkEnd w:id="520"/>
      <w:bookmarkEnd w:id="521"/>
      <w:bookmarkEnd w:id="522"/>
    </w:p>
    <w:p w14:paraId="6C8EC3A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12.2.1 预付款的支付</w:t>
      </w:r>
      <w:bookmarkEnd w:id="523"/>
      <w:bookmarkEnd w:id="524"/>
      <w:bookmarkEnd w:id="525"/>
      <w:bookmarkEnd w:id="526"/>
      <w:bookmarkEnd w:id="527"/>
      <w:bookmarkEnd w:id="528"/>
      <w:bookmarkEnd w:id="529"/>
      <w:bookmarkEnd w:id="530"/>
      <w:bookmarkEnd w:id="531"/>
      <w:bookmarkEnd w:id="532"/>
    </w:p>
    <w:p w14:paraId="604089C6">
      <w:pPr>
        <w:keepNext w:val="0"/>
        <w:keepLines w:val="0"/>
        <w:pageBreakBefore w:val="0"/>
        <w:widowControl/>
        <w:spacing w:line="360" w:lineRule="auto"/>
        <w:ind w:left="0" w:right="0" w:firstLine="480"/>
        <w:jc w:val="lef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预付款支付比例或金额：</w:t>
      </w:r>
      <w:r>
        <w:rPr>
          <w:rFonts w:hint="eastAsia" w:ascii="宋体" w:hAnsi="宋体" w:cs="Times New Roman"/>
          <w:color w:val="auto"/>
          <w:sz w:val="24"/>
          <w:szCs w:val="24"/>
          <w:highlight w:val="none"/>
          <w:u w:val="single"/>
          <w:lang w:val="en-US" w:eastAsia="zh-CN"/>
        </w:rPr>
        <w:t>10%</w:t>
      </w:r>
    </w:p>
    <w:p w14:paraId="1C32A43A">
      <w:pPr>
        <w:keepNext w:val="0"/>
        <w:keepLines w:val="0"/>
        <w:pageBreakBefore w:val="0"/>
        <w:widowControl w:val="0"/>
        <w:spacing w:line="360" w:lineRule="auto"/>
        <w:ind w:left="0" w:right="0" w:firstLine="480"/>
        <w:jc w:val="left"/>
        <w:rPr>
          <w:rFonts w:hint="eastAsia" w:ascii="宋体" w:hAnsi="宋体" w:eastAsia="宋体" w:cs="宋体"/>
          <w:color w:val="auto"/>
          <w:sz w:val="24"/>
          <w:highlight w:val="none"/>
          <w:u w:val="single"/>
        </w:rPr>
      </w:pPr>
      <w:r>
        <w:rPr>
          <w:rFonts w:hint="eastAsia" w:ascii="宋体" w:hAnsi="宋体" w:eastAsia="宋体" w:cs="Times New Roman"/>
          <w:color w:val="auto"/>
          <w:sz w:val="24"/>
          <w:szCs w:val="24"/>
          <w:highlight w:val="none"/>
        </w:rPr>
        <w:t>预付款扣回的方式：</w:t>
      </w:r>
      <w:r>
        <w:rPr>
          <w:rFonts w:hint="eastAsia" w:ascii="宋体" w:hAnsi="宋体" w:eastAsia="宋体" w:cs="Times New Roman"/>
          <w:color w:val="auto"/>
          <w:sz w:val="24"/>
          <w:szCs w:val="24"/>
          <w:highlight w:val="none"/>
          <w:u w:val="single"/>
        </w:rPr>
        <w:t>不扣回，直接视为进度款</w:t>
      </w:r>
      <w:r>
        <w:rPr>
          <w:rFonts w:hint="eastAsia" w:ascii="宋体" w:hAnsi="宋体" w:eastAsia="宋体" w:cs="Times New Roman"/>
          <w:color w:val="auto"/>
          <w:sz w:val="24"/>
          <w:szCs w:val="24"/>
          <w:highlight w:val="none"/>
        </w:rPr>
        <w:t>。</w:t>
      </w:r>
    </w:p>
    <w:p w14:paraId="3CC692B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12.3 计量</w:t>
      </w:r>
    </w:p>
    <w:p w14:paraId="42CC76D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12.3.1 计量原则</w:t>
      </w:r>
    </w:p>
    <w:p w14:paraId="221F28B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工程量计算规则：</w:t>
      </w:r>
      <w:r>
        <w:rPr>
          <w:rFonts w:hint="eastAsia" w:ascii="宋体" w:hAnsi="宋体" w:eastAsia="宋体" w:cs="宋体"/>
          <w:color w:val="auto"/>
          <w:sz w:val="24"/>
          <w:u w:val="single"/>
        </w:rPr>
        <w:t>执行《建设工程工程量清单计价规范》</w:t>
      </w:r>
      <w:r>
        <w:rPr>
          <w:rFonts w:hint="eastAsia" w:ascii="宋体" w:hAnsi="宋体" w:cs="宋体"/>
          <w:color w:val="auto"/>
          <w:sz w:val="24"/>
          <w:u w:val="single"/>
          <w:lang w:eastAsia="zh-CN"/>
        </w:rPr>
        <w:t>GB50500-2024</w:t>
      </w:r>
      <w:r>
        <w:rPr>
          <w:rFonts w:hint="eastAsia" w:ascii="宋体" w:hAnsi="宋体" w:eastAsia="宋体" w:cs="宋体"/>
          <w:color w:val="auto"/>
          <w:sz w:val="24"/>
          <w:u w:val="single"/>
        </w:rPr>
        <w:t>清单计算规则。</w:t>
      </w:r>
    </w:p>
    <w:p w14:paraId="23C8DF4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12.3.2 计量周期</w:t>
      </w:r>
    </w:p>
    <w:p w14:paraId="3D7B77B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关于计量周期的约定：</w:t>
      </w:r>
      <w:r>
        <w:rPr>
          <w:rFonts w:hint="eastAsia" w:ascii="宋体" w:hAnsi="宋体" w:eastAsia="宋体" w:cs="宋体"/>
          <w:color w:val="auto"/>
          <w:sz w:val="24"/>
          <w:u w:val="single"/>
        </w:rPr>
        <w:t xml:space="preserve">  按月计量   </w:t>
      </w:r>
      <w:r>
        <w:rPr>
          <w:rFonts w:hint="eastAsia" w:ascii="宋体" w:hAnsi="宋体" w:eastAsia="宋体" w:cs="宋体"/>
          <w:color w:val="auto"/>
          <w:sz w:val="24"/>
        </w:rPr>
        <w:t>。</w:t>
      </w:r>
    </w:p>
    <w:p w14:paraId="1DA5765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12.3.3 单价合同的计量</w:t>
      </w:r>
    </w:p>
    <w:p w14:paraId="4A18F05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关于单价合同计量的约定：</w:t>
      </w:r>
      <w:r>
        <w:rPr>
          <w:rFonts w:hint="eastAsia" w:ascii="宋体" w:hAnsi="宋体" w:eastAsia="宋体" w:cs="宋体"/>
          <w:color w:val="auto"/>
          <w:sz w:val="24"/>
          <w:u w:val="single"/>
        </w:rPr>
        <w:t xml:space="preserve">  工程量按实计量   </w:t>
      </w:r>
      <w:r>
        <w:rPr>
          <w:rFonts w:hint="eastAsia" w:ascii="宋体" w:hAnsi="宋体" w:eastAsia="宋体" w:cs="宋体"/>
          <w:color w:val="auto"/>
          <w:sz w:val="24"/>
        </w:rPr>
        <w:t>。</w:t>
      </w:r>
    </w:p>
    <w:p w14:paraId="5491869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12.3.4 总价合同的计量</w:t>
      </w:r>
    </w:p>
    <w:p w14:paraId="2572EA1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关于总价合同计量的约定：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258425B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12.3.5总价合同采用支付分解表计量支付的，是否适用第12.3.4 项〔总价合同的计量〕约定进行计量：</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1C3928A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12.3.6 其他价格形式合同的计量</w:t>
      </w:r>
    </w:p>
    <w:p w14:paraId="3716D92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其他价格形式的计量方式和程序：</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015AC24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12.4 工程进度款支付</w:t>
      </w:r>
    </w:p>
    <w:p w14:paraId="1F39A336">
      <w:pPr>
        <w:spacing w:line="360" w:lineRule="auto"/>
        <w:ind w:firstLine="480"/>
        <w:rPr>
          <w:rFonts w:hint="eastAsia" w:ascii="宋体" w:hAnsi="宋体" w:eastAsia="宋体" w:cs="宋体"/>
          <w:color w:val="auto"/>
          <w:sz w:val="24"/>
        </w:rPr>
      </w:pPr>
      <w:bookmarkStart w:id="533" w:name="_Toc296891039"/>
      <w:bookmarkStart w:id="534" w:name="_Toc292559416"/>
      <w:bookmarkStart w:id="535" w:name="_Toc296347210"/>
      <w:bookmarkStart w:id="536" w:name="_Toc296346712"/>
      <w:bookmarkStart w:id="537" w:name="_Toc297216215"/>
      <w:bookmarkStart w:id="538" w:name="_Toc297048397"/>
      <w:bookmarkStart w:id="539" w:name="_Toc297123556"/>
      <w:bookmarkStart w:id="540" w:name="_Toc300935006"/>
      <w:bookmarkStart w:id="541" w:name="_Toc296503211"/>
      <w:bookmarkStart w:id="542" w:name="_Toc303539163"/>
      <w:bookmarkStart w:id="543" w:name="_Toc296891251"/>
      <w:bookmarkStart w:id="544" w:name="_Toc297120511"/>
      <w:bookmarkStart w:id="545" w:name="_Toc292559921"/>
      <w:bookmarkStart w:id="546" w:name="_Toc296944550"/>
      <w:r>
        <w:rPr>
          <w:rFonts w:hint="eastAsia" w:ascii="宋体" w:hAnsi="宋体" w:eastAsia="宋体" w:cs="宋体"/>
          <w:color w:val="auto"/>
          <w:sz w:val="24"/>
        </w:rPr>
        <w:t>12.4.1 付款周期</w:t>
      </w:r>
    </w:p>
    <w:p w14:paraId="474A47C4">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双方约定的工程款（进度款）支付的方式和时间：</w:t>
      </w:r>
    </w:p>
    <w:p w14:paraId="678E33DE">
      <w:pPr>
        <w:numPr>
          <w:ilvl w:val="0"/>
          <w:numId w:val="6"/>
        </w:numPr>
        <w:spacing w:line="460" w:lineRule="exact"/>
        <w:ind w:firstLine="480"/>
        <w:rPr>
          <w:rFonts w:hint="eastAsia" w:ascii="宋体" w:hAnsi="宋体" w:eastAsia="宋体" w:cs="宋体"/>
          <w:b/>
          <w:bCs/>
          <w:color w:val="auto"/>
          <w:sz w:val="24"/>
          <w:szCs w:val="24"/>
          <w:highlight w:val="yellow"/>
          <w:lang w:val="en-US" w:eastAsia="zh-CN" w:bidi="ar-SA"/>
        </w:rPr>
      </w:pPr>
      <w:r>
        <w:rPr>
          <w:rFonts w:hint="eastAsia" w:ascii="宋体" w:hAnsi="宋体" w:cs="宋体"/>
          <w:b/>
          <w:bCs/>
          <w:color w:val="auto"/>
          <w:sz w:val="24"/>
          <w:szCs w:val="24"/>
          <w:highlight w:val="yellow"/>
          <w:lang w:val="en-US" w:eastAsia="zh-CN" w:bidi="ar-SA"/>
        </w:rPr>
        <w:t>合同签订后付合同价的10%作为预付款，工程竣工验收合格后付至合同价款的70%:经审计完成后付至工程审定价的 100%，在甲方支付前，施工单位须支付审定价的3%作为质保金，在质量缺陷责任期满后无质量问题无息退还。</w:t>
      </w:r>
    </w:p>
    <w:p w14:paraId="7917A23B">
      <w:pPr>
        <w:keepNext w:val="0"/>
        <w:keepLines w:val="0"/>
        <w:pageBreakBefore w:val="0"/>
        <w:widowControl w:val="0"/>
        <w:numPr>
          <w:ilvl w:val="0"/>
          <w:numId w:val="6"/>
        </w:numPr>
        <w:spacing w:line="460" w:lineRule="exact"/>
        <w:ind w:left="0" w:leftChars="0" w:firstLine="480" w:firstLineChars="0"/>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每次支付工程款时，承包人必须提供符合税法的等额正规发票，否则延迟付款的责任由承包人自行承担。发包人收到发票后，将资金支付到约定的承包人账户。</w:t>
      </w:r>
    </w:p>
    <w:p w14:paraId="7A65C320">
      <w:pPr>
        <w:keepNext w:val="0"/>
        <w:keepLines w:val="0"/>
        <w:pageBreakBefore w:val="0"/>
        <w:widowControl w:val="0"/>
        <w:numPr>
          <w:ilvl w:val="0"/>
          <w:numId w:val="6"/>
        </w:numPr>
        <w:spacing w:line="460" w:lineRule="exact"/>
        <w:ind w:left="0" w:leftChars="0" w:firstLine="480" w:firstLineChars="0"/>
        <w:rPr>
          <w:rFonts w:hint="eastAsia" w:ascii="宋体" w:hAnsi="宋体" w:eastAsia="宋体" w:cs="宋体"/>
          <w:b/>
          <w:bCs/>
          <w:color w:val="0000FF"/>
          <w:sz w:val="24"/>
          <w:highlight w:val="none"/>
          <w:lang w:eastAsia="zh-CN"/>
        </w:rPr>
      </w:pPr>
      <w:r>
        <w:rPr>
          <w:rFonts w:hint="eastAsia" w:ascii="宋体" w:hAnsi="宋体" w:cs="宋体"/>
          <w:b/>
          <w:bCs/>
          <w:color w:val="0000FF"/>
          <w:highlight w:val="none"/>
          <w:u w:val="single"/>
        </w:rPr>
        <w:t>审计核减额不超5%部分由甲方支付审计费用，超出部分由承包人直接向审计单位支付。</w:t>
      </w:r>
    </w:p>
    <w:p w14:paraId="1873579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12.4.2 进度付款申请单的编制</w:t>
      </w:r>
    </w:p>
    <w:p w14:paraId="73DF6C1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关于进度付款申请单编制的约定：</w:t>
      </w:r>
      <w:r>
        <w:rPr>
          <w:rFonts w:hint="eastAsia" w:ascii="宋体" w:hAnsi="宋体" w:eastAsia="宋体" w:cs="宋体"/>
          <w:color w:val="auto"/>
          <w:sz w:val="24"/>
          <w:highlight w:val="none"/>
          <w:u w:val="single"/>
        </w:rPr>
        <w:t xml:space="preserve"> 按发包人规定的工作流程及要求执</w:t>
      </w:r>
      <w:r>
        <w:rPr>
          <w:rFonts w:hint="eastAsia" w:ascii="宋体" w:hAnsi="宋体" w:cs="宋体"/>
          <w:color w:val="auto"/>
          <w:sz w:val="24"/>
          <w:highlight w:val="none"/>
          <w:u w:val="single"/>
          <w:lang w:val="en-US" w:eastAsia="zh-CN"/>
        </w:rPr>
        <w:t>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F8B65E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r>
        <w:rPr>
          <w:rFonts w:hint="eastAsia" w:ascii="宋体" w:hAnsi="宋体" w:eastAsia="宋体" w:cs="宋体"/>
          <w:color w:val="auto"/>
          <w:sz w:val="24"/>
          <w:highlight w:val="none"/>
        </w:rPr>
        <w:t>2.4.3 进度付款申请单的提交</w:t>
      </w:r>
    </w:p>
    <w:p w14:paraId="301C249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（1）单价合同进度付款申请单提交的约定：</w:t>
      </w:r>
      <w:r>
        <w:rPr>
          <w:rFonts w:hint="eastAsia" w:ascii="宋体" w:hAnsi="宋体" w:eastAsia="宋体" w:cs="宋体"/>
          <w:color w:val="auto"/>
          <w:sz w:val="24"/>
          <w:highlight w:val="none"/>
          <w:u w:val="single"/>
        </w:rPr>
        <w:t xml:space="preserve">  按月提交  </w:t>
      </w:r>
      <w:r>
        <w:rPr>
          <w:rFonts w:hint="eastAsia" w:ascii="宋体" w:hAnsi="宋体" w:eastAsia="宋体" w:cs="宋体"/>
          <w:color w:val="auto"/>
          <w:sz w:val="24"/>
          <w:highlight w:val="none"/>
        </w:rPr>
        <w:t>。</w:t>
      </w:r>
    </w:p>
    <w:p w14:paraId="54F4B71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（2）总价合同进度付款申请单提交的约定：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1A03450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highlight w:val="none"/>
        </w:rPr>
        <w:t>（3）其他价格形式合同进度付款申请单提</w:t>
      </w:r>
      <w:r>
        <w:rPr>
          <w:rFonts w:hint="eastAsia" w:ascii="宋体" w:hAnsi="宋体" w:eastAsia="宋体" w:cs="宋体"/>
          <w:color w:val="auto"/>
          <w:sz w:val="24"/>
        </w:rPr>
        <w:t>交的约定：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2ADF4FF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12.4.4 进度款审核和支付</w:t>
      </w:r>
    </w:p>
    <w:p w14:paraId="4D69DFAB">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（1）监理人审查并报送发包人的期限：</w:t>
      </w:r>
      <w:r>
        <w:rPr>
          <w:rFonts w:hint="eastAsia" w:ascii="宋体" w:hAnsi="宋体" w:eastAsia="宋体" w:cs="宋体"/>
          <w:color w:val="auto"/>
          <w:sz w:val="24"/>
          <w:u w:val="single"/>
        </w:rPr>
        <w:t>在收到承包人进度付款申请单以及相关资料后7日内完成</w:t>
      </w:r>
      <w:r>
        <w:rPr>
          <w:rFonts w:hint="eastAsia" w:ascii="宋体" w:hAnsi="宋体" w:eastAsia="宋体" w:cs="宋体"/>
          <w:color w:val="auto"/>
          <w:sz w:val="24"/>
        </w:rPr>
        <w:t>。</w:t>
      </w:r>
    </w:p>
    <w:p w14:paraId="4F385FC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发包人完成审批并签发进度款支付证书的期限：</w:t>
      </w:r>
      <w:r>
        <w:rPr>
          <w:rFonts w:hint="eastAsia" w:ascii="宋体" w:hAnsi="宋体" w:eastAsia="宋体" w:cs="宋体"/>
          <w:color w:val="auto"/>
          <w:sz w:val="24"/>
          <w:u w:val="single"/>
        </w:rPr>
        <w:t xml:space="preserve">在收到监理人报送的进度付款申请单及相关资料后7日内  </w:t>
      </w:r>
      <w:r>
        <w:rPr>
          <w:rFonts w:hint="eastAsia" w:ascii="宋体" w:hAnsi="宋体" w:eastAsia="宋体" w:cs="宋体"/>
          <w:color w:val="auto"/>
          <w:sz w:val="24"/>
        </w:rPr>
        <w:t>。</w:t>
      </w:r>
    </w:p>
    <w:p w14:paraId="4492D3A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（2）发包人支付进度款的期限：</w:t>
      </w:r>
      <w:r>
        <w:rPr>
          <w:rFonts w:hint="eastAsia" w:ascii="宋体" w:hAnsi="宋体" w:eastAsia="宋体" w:cs="宋体"/>
          <w:color w:val="auto"/>
          <w:sz w:val="24"/>
          <w:u w:val="single"/>
        </w:rPr>
        <w:t xml:space="preserve">  在进度款支付证书签发后14天内完成支付 </w:t>
      </w:r>
      <w:r>
        <w:rPr>
          <w:rFonts w:hint="eastAsia" w:ascii="宋体" w:hAnsi="宋体" w:eastAsia="宋体" w:cs="宋体"/>
          <w:color w:val="auto"/>
          <w:sz w:val="24"/>
        </w:rPr>
        <w:t>。</w:t>
      </w:r>
    </w:p>
    <w:p w14:paraId="045D25C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发包人逾期支付进度款的违约金的计算方式：</w:t>
      </w:r>
      <w:r>
        <w:rPr>
          <w:rFonts w:hint="eastAsia" w:ascii="宋体" w:hAnsi="宋体" w:eastAsia="宋体" w:cs="宋体"/>
          <w:color w:val="auto"/>
          <w:sz w:val="24"/>
          <w:u w:val="single"/>
        </w:rPr>
        <w:t xml:space="preserve">无 </w:t>
      </w:r>
      <w:r>
        <w:rPr>
          <w:rFonts w:hint="eastAsia" w:ascii="宋体" w:hAnsi="宋体" w:eastAsia="宋体" w:cs="宋体"/>
          <w:color w:val="auto"/>
          <w:sz w:val="24"/>
        </w:rPr>
        <w:t>。</w:t>
      </w:r>
    </w:p>
    <w:p w14:paraId="67BBC10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12.4.5 支付分解表的编制</w:t>
      </w:r>
    </w:p>
    <w:p w14:paraId="5024CFD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12.4.5</w:t>
      </w:r>
      <w:r>
        <w:rPr>
          <w:rFonts w:hint="eastAsia" w:ascii="宋体" w:hAnsi="宋体" w:eastAsia="宋体" w:cs="宋体"/>
          <w:b/>
          <w:color w:val="auto"/>
          <w:sz w:val="24"/>
        </w:rPr>
        <w:t>.</w:t>
      </w:r>
      <w:r>
        <w:rPr>
          <w:rFonts w:hint="eastAsia" w:ascii="宋体" w:hAnsi="宋体" w:eastAsia="宋体" w:cs="宋体"/>
          <w:color w:val="auto"/>
          <w:sz w:val="24"/>
        </w:rPr>
        <w:t>1、总价合同支付分解表的编制与审批：</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3ED13AD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12.4.5</w:t>
      </w:r>
      <w:r>
        <w:rPr>
          <w:rFonts w:hint="eastAsia" w:ascii="宋体" w:hAnsi="宋体" w:eastAsia="宋体" w:cs="宋体"/>
          <w:b/>
          <w:color w:val="auto"/>
          <w:sz w:val="24"/>
        </w:rPr>
        <w:t>.</w:t>
      </w:r>
      <w:r>
        <w:rPr>
          <w:rFonts w:hint="eastAsia" w:ascii="宋体" w:hAnsi="宋体" w:eastAsia="宋体" w:cs="宋体"/>
          <w:color w:val="auto"/>
          <w:sz w:val="24"/>
        </w:rPr>
        <w:t>2、单价合同的总价项目支付分解表的编制与审批：</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bookmarkEnd w:id="377"/>
    </w:p>
    <w:p w14:paraId="1F1316E4">
      <w:pPr>
        <w:pStyle w:val="5"/>
        <w:spacing w:before="0" w:after="0" w:line="360" w:lineRule="auto"/>
        <w:ind w:firstLine="482"/>
        <w:rPr>
          <w:rFonts w:hint="eastAsia" w:ascii="宋体" w:hAnsi="宋体" w:eastAsia="宋体" w:cs="宋体"/>
          <w:color w:val="auto"/>
          <w:sz w:val="24"/>
          <w:szCs w:val="24"/>
        </w:rPr>
      </w:pPr>
      <w:bookmarkStart w:id="547" w:name="_Toc300935015"/>
      <w:bookmarkStart w:id="548" w:name="_Toc351203645"/>
      <w:bookmarkStart w:id="549" w:name="_Toc312678053"/>
      <w:bookmarkStart w:id="550" w:name="_Toc292559929"/>
      <w:bookmarkStart w:id="551" w:name="_Toc296944558"/>
      <w:bookmarkStart w:id="552" w:name="_Toc303539172"/>
      <w:bookmarkStart w:id="553" w:name="_Toc292559424"/>
      <w:bookmarkStart w:id="554" w:name="_Toc296891259"/>
      <w:bookmarkStart w:id="555" w:name="_Toc297120519"/>
      <w:bookmarkStart w:id="556" w:name="_Toc297123564"/>
      <w:bookmarkStart w:id="557" w:name="_Toc296891047"/>
      <w:bookmarkStart w:id="558" w:name="_Toc297048405"/>
      <w:bookmarkStart w:id="559" w:name="_Toc304295593"/>
      <w:bookmarkStart w:id="560" w:name="_Toc297216223"/>
      <w:bookmarkStart w:id="561" w:name="_Toc296503219"/>
      <w:bookmarkStart w:id="562" w:name="_Toc296347218"/>
      <w:bookmarkStart w:id="563" w:name="_Toc296346720"/>
      <w:r>
        <w:rPr>
          <w:rFonts w:hint="eastAsia" w:ascii="宋体" w:hAnsi="宋体" w:eastAsia="宋体" w:cs="宋体"/>
          <w:color w:val="auto"/>
          <w:sz w:val="24"/>
          <w:szCs w:val="24"/>
        </w:rPr>
        <w:t>13、验收和工程试车</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5AA5981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13.1 分部分项工程验收</w:t>
      </w:r>
    </w:p>
    <w:p w14:paraId="572F9E3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13.1.1监理人不能按时进行验收时，应提前</w:t>
      </w:r>
      <w:r>
        <w:rPr>
          <w:rFonts w:hint="eastAsia" w:ascii="宋体" w:hAnsi="宋体" w:eastAsia="宋体" w:cs="宋体"/>
          <w:color w:val="auto"/>
          <w:sz w:val="24"/>
          <w:u w:val="single"/>
        </w:rPr>
        <w:t xml:space="preserve">  24  </w:t>
      </w:r>
      <w:r>
        <w:rPr>
          <w:rFonts w:hint="eastAsia" w:ascii="宋体" w:hAnsi="宋体" w:eastAsia="宋体" w:cs="宋体"/>
          <w:color w:val="auto"/>
          <w:sz w:val="24"/>
        </w:rPr>
        <w:t>小时提交书面延期要求。</w:t>
      </w:r>
    </w:p>
    <w:p w14:paraId="77B8C6B9">
      <w:pPr>
        <w:spacing w:line="360" w:lineRule="auto"/>
        <w:ind w:firstLine="480"/>
        <w:rPr>
          <w:rFonts w:hint="eastAsia" w:ascii="宋体" w:hAnsi="宋体" w:eastAsia="宋体" w:cs="宋体"/>
          <w:b/>
          <w:color w:val="auto"/>
          <w:sz w:val="24"/>
        </w:rPr>
      </w:pPr>
      <w:r>
        <w:rPr>
          <w:rFonts w:hint="eastAsia" w:ascii="宋体" w:hAnsi="宋体" w:eastAsia="宋体" w:cs="宋体"/>
          <w:color w:val="auto"/>
          <w:sz w:val="24"/>
        </w:rPr>
        <w:t>关于延期最长不得超过：</w:t>
      </w:r>
      <w:r>
        <w:rPr>
          <w:rFonts w:hint="eastAsia" w:ascii="宋体" w:hAnsi="宋体" w:eastAsia="宋体" w:cs="宋体"/>
          <w:color w:val="auto"/>
          <w:sz w:val="24"/>
          <w:u w:val="single"/>
        </w:rPr>
        <w:t xml:space="preserve">  48  </w:t>
      </w:r>
      <w:r>
        <w:rPr>
          <w:rFonts w:hint="eastAsia" w:ascii="宋体" w:hAnsi="宋体" w:eastAsia="宋体" w:cs="宋体"/>
          <w:color w:val="auto"/>
          <w:sz w:val="24"/>
        </w:rPr>
        <w:t>小时。</w:t>
      </w:r>
    </w:p>
    <w:p w14:paraId="32EF1620">
      <w:pPr>
        <w:spacing w:line="360" w:lineRule="auto"/>
        <w:ind w:firstLine="480"/>
        <w:rPr>
          <w:rFonts w:hint="eastAsia" w:ascii="宋体" w:hAnsi="宋体" w:eastAsia="宋体" w:cs="宋体"/>
          <w:color w:val="auto"/>
          <w:sz w:val="24"/>
        </w:rPr>
      </w:pPr>
      <w:bookmarkStart w:id="564" w:name="_Toc297216224"/>
      <w:bookmarkStart w:id="565" w:name="_Toc297123565"/>
      <w:bookmarkStart w:id="566" w:name="_Toc304295596"/>
      <w:bookmarkStart w:id="567" w:name="_Toc296891263"/>
      <w:bookmarkStart w:id="568" w:name="_Toc312678056"/>
      <w:bookmarkStart w:id="569" w:name="_Toc296503223"/>
      <w:bookmarkStart w:id="570" w:name="_Toc297048409"/>
      <w:bookmarkStart w:id="571" w:name="_Toc300935016"/>
      <w:bookmarkStart w:id="572" w:name="_Toc296944562"/>
      <w:bookmarkStart w:id="573" w:name="_Toc297120523"/>
      <w:bookmarkStart w:id="574" w:name="_Toc296347222"/>
      <w:bookmarkStart w:id="575" w:name="_Toc292559933"/>
      <w:bookmarkStart w:id="576" w:name="_Toc292559428"/>
      <w:bookmarkStart w:id="577" w:name="_Toc296891051"/>
      <w:bookmarkStart w:id="578" w:name="_Toc303539173"/>
      <w:bookmarkStart w:id="579" w:name="_Toc296346724"/>
      <w:bookmarkStart w:id="580" w:name="_Toc267251476"/>
      <w:bookmarkStart w:id="581" w:name="_Toc267251475"/>
      <w:bookmarkStart w:id="582" w:name="_Toc267251470"/>
      <w:bookmarkStart w:id="583" w:name="_Toc267251474"/>
      <w:bookmarkStart w:id="584" w:name="_Toc267251471"/>
      <w:bookmarkStart w:id="585" w:name="_Toc267251472"/>
      <w:bookmarkStart w:id="586" w:name="_Toc267251473"/>
      <w:r>
        <w:rPr>
          <w:rFonts w:hint="eastAsia" w:ascii="宋体" w:hAnsi="宋体" w:eastAsia="宋体" w:cs="宋体"/>
          <w:color w:val="auto"/>
          <w:sz w:val="24"/>
        </w:rPr>
        <w:t>13.2 竣工验收</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p w14:paraId="21D8887F">
      <w:pPr>
        <w:spacing w:line="360" w:lineRule="auto"/>
        <w:ind w:firstLine="480"/>
        <w:rPr>
          <w:rFonts w:hint="eastAsia" w:ascii="宋体" w:hAnsi="宋体" w:eastAsia="宋体" w:cs="宋体"/>
          <w:color w:val="auto"/>
          <w:sz w:val="24"/>
        </w:rPr>
      </w:pPr>
      <w:bookmarkStart w:id="587" w:name="_Toc280868704"/>
      <w:bookmarkStart w:id="588" w:name="_Toc280868705"/>
      <w:bookmarkStart w:id="589" w:name="_Toc280868706"/>
      <w:bookmarkStart w:id="590" w:name="_Toc280868707"/>
      <w:bookmarkStart w:id="591" w:name="_Toc280868708"/>
      <w:bookmarkStart w:id="592" w:name="_Toc280868709"/>
      <w:r>
        <w:rPr>
          <w:rFonts w:hint="eastAsia" w:ascii="宋体" w:hAnsi="宋体" w:eastAsia="宋体" w:cs="宋体"/>
          <w:color w:val="auto"/>
          <w:sz w:val="24"/>
        </w:rPr>
        <w:t>13.2.1竣工验收程序</w:t>
      </w:r>
      <w:bookmarkEnd w:id="587"/>
    </w:p>
    <w:p w14:paraId="58C472F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关于竣工验收程序的约定：</w:t>
      </w:r>
      <w:r>
        <w:rPr>
          <w:rFonts w:hint="eastAsia" w:ascii="宋体" w:hAnsi="宋体" w:eastAsia="宋体" w:cs="宋体"/>
          <w:color w:val="auto"/>
          <w:sz w:val="24"/>
          <w:u w:val="single"/>
        </w:rPr>
        <w:t>按通用条款执行</w:t>
      </w:r>
      <w:r>
        <w:rPr>
          <w:rFonts w:hint="eastAsia" w:ascii="宋体" w:hAnsi="宋体" w:eastAsia="宋体" w:cs="宋体"/>
          <w:color w:val="auto"/>
          <w:sz w:val="24"/>
        </w:rPr>
        <w:t>。</w:t>
      </w:r>
    </w:p>
    <w:p w14:paraId="7821C19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发包人不按照本项约定组织竣工验收、颁发工程接收证书的违约金的计算方法：</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w:t>
      </w:r>
      <w:bookmarkEnd w:id="588"/>
    </w:p>
    <w:p w14:paraId="61F815D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13.2.2移交、接收全部与部分工程</w:t>
      </w:r>
      <w:bookmarkEnd w:id="589"/>
    </w:p>
    <w:p w14:paraId="1A07B2B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承包人向发包人移交工程的期限：</w:t>
      </w:r>
      <w:r>
        <w:rPr>
          <w:rFonts w:hint="eastAsia" w:ascii="宋体" w:hAnsi="宋体" w:eastAsia="宋体" w:cs="宋体"/>
          <w:color w:val="auto"/>
          <w:sz w:val="24"/>
          <w:u w:val="single"/>
        </w:rPr>
        <w:t>在颁发工程接收证书后7日内完成工程的移交。</w:t>
      </w:r>
    </w:p>
    <w:p w14:paraId="1A7A6F13">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发包人未按本合同约定接收全部或部分工程的，违约金的计算方法为：</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w:t>
      </w:r>
      <w:bookmarkEnd w:id="590"/>
    </w:p>
    <w:p w14:paraId="07C54F4A">
      <w:pPr>
        <w:spacing w:line="360" w:lineRule="auto"/>
        <w:ind w:firstLine="480"/>
        <w:rPr>
          <w:rFonts w:hint="eastAsia" w:ascii="宋体" w:hAnsi="宋体" w:eastAsia="宋体" w:cs="宋体"/>
          <w:b/>
          <w:color w:val="auto"/>
          <w:sz w:val="24"/>
        </w:rPr>
      </w:pPr>
      <w:r>
        <w:rPr>
          <w:rFonts w:hint="eastAsia" w:ascii="宋体" w:hAnsi="宋体" w:eastAsia="宋体" w:cs="宋体"/>
          <w:color w:val="auto"/>
          <w:sz w:val="24"/>
        </w:rPr>
        <w:t>承包人未按时移交工程的，违约金的计算方法为：</w:t>
      </w:r>
      <w:r>
        <w:rPr>
          <w:rFonts w:hint="eastAsia" w:ascii="宋体" w:hAnsi="宋体" w:eastAsia="宋体" w:cs="宋体"/>
          <w:color w:val="auto"/>
          <w:sz w:val="24"/>
          <w:u w:val="single"/>
        </w:rPr>
        <w:t>每推迟一天，</w:t>
      </w:r>
      <w:r>
        <w:rPr>
          <w:rFonts w:hint="eastAsia" w:ascii="宋体" w:hAnsi="宋体" w:eastAsia="宋体" w:cs="宋体"/>
          <w:b/>
          <w:bCs/>
          <w:color w:val="auto"/>
          <w:sz w:val="24"/>
          <w:u w:val="single"/>
        </w:rPr>
        <w:t>承</w:t>
      </w:r>
      <w:r>
        <w:rPr>
          <w:rFonts w:hint="eastAsia" w:ascii="宋体" w:hAnsi="宋体" w:eastAsia="宋体" w:cs="宋体"/>
          <w:b/>
          <w:color w:val="auto"/>
          <w:sz w:val="24"/>
          <w:u w:val="single"/>
        </w:rPr>
        <w:t>包人赔偿给发包人合同价万分之一违约金</w:t>
      </w:r>
      <w:r>
        <w:rPr>
          <w:rFonts w:hint="eastAsia" w:ascii="宋体" w:hAnsi="宋体" w:eastAsia="宋体" w:cs="宋体"/>
          <w:b/>
          <w:color w:val="auto"/>
          <w:sz w:val="24"/>
        </w:rPr>
        <w:t>。</w:t>
      </w:r>
    </w:p>
    <w:p w14:paraId="7FBFFB2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13.3 工程试车</w:t>
      </w:r>
      <w:bookmarkEnd w:id="591"/>
    </w:p>
    <w:p w14:paraId="7FBF126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13.3.1 试车程序</w:t>
      </w:r>
    </w:p>
    <w:p w14:paraId="244DF3F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工程试车内容：</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5E4C6238">
      <w:pPr>
        <w:numPr>
          <w:ilvl w:val="0"/>
          <w:numId w:val="7"/>
        </w:num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单机无负荷试车费用由</w:t>
      </w:r>
      <w:r>
        <w:rPr>
          <w:rFonts w:hint="eastAsia" w:ascii="宋体" w:hAnsi="宋体" w:eastAsia="宋体" w:cs="宋体"/>
          <w:color w:val="auto"/>
          <w:sz w:val="24"/>
          <w:u w:val="single"/>
        </w:rPr>
        <w:t xml:space="preserve">  /  </w:t>
      </w:r>
      <w:r>
        <w:rPr>
          <w:rFonts w:hint="eastAsia" w:ascii="宋体" w:hAnsi="宋体" w:eastAsia="宋体" w:cs="宋体"/>
          <w:color w:val="auto"/>
          <w:sz w:val="24"/>
        </w:rPr>
        <w:t>承担；</w:t>
      </w:r>
    </w:p>
    <w:p w14:paraId="1BD1DB5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 无负荷联动试车费用由</w:t>
      </w:r>
      <w:r>
        <w:rPr>
          <w:rFonts w:hint="eastAsia" w:ascii="宋体" w:hAnsi="宋体" w:eastAsia="宋体" w:cs="宋体"/>
          <w:color w:val="auto"/>
          <w:sz w:val="24"/>
          <w:u w:val="single"/>
        </w:rPr>
        <w:t xml:space="preserve">  / </w:t>
      </w:r>
      <w:r>
        <w:rPr>
          <w:rFonts w:hint="eastAsia" w:ascii="宋体" w:hAnsi="宋体" w:eastAsia="宋体" w:cs="宋体"/>
          <w:color w:val="auto"/>
          <w:sz w:val="24"/>
        </w:rPr>
        <w:t>承担。</w:t>
      </w:r>
    </w:p>
    <w:p w14:paraId="61F4501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13.3.2 投料试车</w:t>
      </w:r>
    </w:p>
    <w:p w14:paraId="588462F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关于投料试车相关事项的约定：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7079736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13.4 竣工退场</w:t>
      </w:r>
    </w:p>
    <w:p w14:paraId="65CFB85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13.4.1 竣工退场</w:t>
      </w:r>
    </w:p>
    <w:p w14:paraId="7EA337B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承包人完成竣工退场的期限：</w:t>
      </w:r>
      <w:r>
        <w:rPr>
          <w:rFonts w:hint="eastAsia" w:ascii="宋体" w:hAnsi="宋体" w:eastAsia="宋体" w:cs="宋体"/>
          <w:color w:val="auto"/>
          <w:sz w:val="24"/>
          <w:u w:val="single"/>
        </w:rPr>
        <w:t xml:space="preserve">在移交结束后7日内完成竣工退场 </w:t>
      </w:r>
      <w:r>
        <w:rPr>
          <w:rFonts w:hint="eastAsia" w:ascii="宋体" w:hAnsi="宋体" w:eastAsia="宋体" w:cs="宋体"/>
          <w:color w:val="auto"/>
          <w:sz w:val="24"/>
        </w:rPr>
        <w:t>。</w:t>
      </w:r>
    </w:p>
    <w:p w14:paraId="5F0995C3">
      <w:pPr>
        <w:pStyle w:val="5"/>
        <w:spacing w:before="0" w:after="0" w:line="360" w:lineRule="auto"/>
        <w:ind w:firstLine="482"/>
        <w:rPr>
          <w:rFonts w:hint="eastAsia" w:ascii="宋体" w:hAnsi="宋体" w:eastAsia="宋体" w:cs="宋体"/>
          <w:color w:val="auto"/>
          <w:sz w:val="24"/>
          <w:szCs w:val="24"/>
        </w:rPr>
      </w:pPr>
      <w:bookmarkStart w:id="593" w:name="_Toc351203646"/>
      <w:r>
        <w:rPr>
          <w:rFonts w:hint="eastAsia" w:ascii="宋体" w:hAnsi="宋体" w:eastAsia="宋体" w:cs="宋体"/>
          <w:color w:val="auto"/>
          <w:sz w:val="24"/>
          <w:szCs w:val="24"/>
        </w:rPr>
        <w:t>14、竣工结算</w:t>
      </w:r>
      <w:bookmarkEnd w:id="593"/>
    </w:p>
    <w:p w14:paraId="008E55F0">
      <w:pPr>
        <w:spacing w:line="360" w:lineRule="auto"/>
        <w:ind w:firstLine="482"/>
        <w:rPr>
          <w:rFonts w:hint="eastAsia" w:ascii="宋体" w:hAnsi="宋体" w:eastAsia="宋体" w:cs="宋体"/>
          <w:color w:val="auto"/>
          <w:sz w:val="24"/>
        </w:rPr>
      </w:pPr>
      <w:r>
        <w:rPr>
          <w:rFonts w:hint="eastAsia" w:ascii="宋体" w:hAnsi="宋体" w:eastAsia="宋体" w:cs="宋体"/>
          <w:color w:val="auto"/>
          <w:sz w:val="24"/>
          <w:u w:val="single"/>
        </w:rPr>
        <w:t>执行《建设工程工程量清单计价规范》</w:t>
      </w:r>
      <w:r>
        <w:rPr>
          <w:rFonts w:hint="eastAsia" w:ascii="宋体" w:hAnsi="宋体" w:cs="宋体"/>
          <w:color w:val="auto"/>
          <w:sz w:val="24"/>
          <w:u w:val="single"/>
          <w:lang w:eastAsia="zh-CN"/>
        </w:rPr>
        <w:t>GB50500-2024</w:t>
      </w:r>
      <w:r>
        <w:rPr>
          <w:rFonts w:hint="eastAsia" w:ascii="宋体" w:hAnsi="宋体" w:eastAsia="宋体" w:cs="宋体"/>
          <w:color w:val="auto"/>
          <w:sz w:val="24"/>
          <w:u w:val="single"/>
        </w:rPr>
        <w:t>的规定。</w:t>
      </w:r>
    </w:p>
    <w:p w14:paraId="764396B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14.1 竣工付款申请</w:t>
      </w:r>
    </w:p>
    <w:p w14:paraId="3EFF4B8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承包人提交竣工付款申请单的期限：</w:t>
      </w:r>
      <w:r>
        <w:rPr>
          <w:rFonts w:hint="eastAsia" w:ascii="宋体" w:hAnsi="宋体" w:eastAsia="宋体" w:cs="宋体"/>
          <w:color w:val="auto"/>
          <w:sz w:val="24"/>
          <w:u w:val="single"/>
        </w:rPr>
        <w:t xml:space="preserve">在工程竣工验收合格后28天内向发包人和监理人提交竣工结算申请单  </w:t>
      </w:r>
      <w:r>
        <w:rPr>
          <w:rFonts w:hint="eastAsia" w:ascii="宋体" w:hAnsi="宋体" w:eastAsia="宋体" w:cs="宋体"/>
          <w:color w:val="auto"/>
          <w:sz w:val="24"/>
        </w:rPr>
        <w:t>。</w:t>
      </w:r>
    </w:p>
    <w:p w14:paraId="34BC40A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竣工付款申请单应包括的内容：</w:t>
      </w:r>
    </w:p>
    <w:p w14:paraId="186BD3F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（1）竣工结算合同价格；</w:t>
      </w:r>
    </w:p>
    <w:p w14:paraId="5BABC72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（2）发包人已支付承包人的款项；</w:t>
      </w:r>
    </w:p>
    <w:p w14:paraId="5B35436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（3）应扣留的质量保证金； </w:t>
      </w:r>
    </w:p>
    <w:p w14:paraId="35B8791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（4）发包人应支付承包人的合同价款。</w:t>
      </w:r>
    </w:p>
    <w:p w14:paraId="053C7F8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14.2 竣工结算审核</w:t>
      </w:r>
    </w:p>
    <w:p w14:paraId="31B52D4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发包人审批竣工付款申请单的期限：</w:t>
      </w:r>
      <w:r>
        <w:rPr>
          <w:rFonts w:hint="eastAsia" w:ascii="宋体" w:hAnsi="宋体" w:eastAsia="宋体" w:cs="宋体"/>
          <w:color w:val="auto"/>
          <w:sz w:val="24"/>
          <w:u w:val="single"/>
        </w:rPr>
        <w:t xml:space="preserve">发包人在收到承包人提交竣工结算申请书后2个月内完成审批    </w:t>
      </w:r>
      <w:r>
        <w:rPr>
          <w:rFonts w:hint="eastAsia" w:ascii="宋体" w:hAnsi="宋体" w:eastAsia="宋体" w:cs="宋体"/>
          <w:color w:val="auto"/>
          <w:sz w:val="24"/>
        </w:rPr>
        <w:t>。</w:t>
      </w:r>
    </w:p>
    <w:p w14:paraId="2E232A4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发包人完成竣工付款的期限：</w:t>
      </w:r>
      <w:r>
        <w:rPr>
          <w:rFonts w:hint="eastAsia" w:ascii="宋体" w:hAnsi="宋体" w:eastAsia="宋体" w:cs="宋体"/>
          <w:color w:val="auto"/>
          <w:sz w:val="24"/>
          <w:u w:val="single"/>
        </w:rPr>
        <w:t>发包人应在签发竣工付款证书后的3个月内，完成对承包人的竣工付款</w:t>
      </w:r>
      <w:r>
        <w:rPr>
          <w:rFonts w:hint="eastAsia" w:ascii="宋体" w:hAnsi="宋体" w:eastAsia="宋体" w:cs="宋体"/>
          <w:color w:val="auto"/>
          <w:sz w:val="24"/>
        </w:rPr>
        <w:t>。</w:t>
      </w:r>
    </w:p>
    <w:p w14:paraId="33D76E7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关于竣工付款证书异议部分复核的方式和程序：</w:t>
      </w:r>
      <w:r>
        <w:rPr>
          <w:rFonts w:hint="eastAsia" w:ascii="宋体" w:hAnsi="宋体" w:eastAsia="宋体" w:cs="宋体"/>
          <w:color w:val="auto"/>
          <w:sz w:val="24"/>
          <w:u w:val="single"/>
        </w:rPr>
        <w:t xml:space="preserve">按照第19条〔争议解决〕约定处理  </w:t>
      </w:r>
      <w:r>
        <w:rPr>
          <w:rFonts w:hint="eastAsia" w:ascii="宋体" w:hAnsi="宋体" w:eastAsia="宋体" w:cs="宋体"/>
          <w:color w:val="auto"/>
          <w:sz w:val="24"/>
        </w:rPr>
        <w:t>。</w:t>
      </w:r>
    </w:p>
    <w:p w14:paraId="2EF5A30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工程竣工结算要接受发包人委托的审计单位审计，审计以承包人送审价为基数，竣工结算核减额5%</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含5%</w:t>
      </w:r>
      <w:r>
        <w:rPr>
          <w:rFonts w:hint="eastAsia" w:ascii="宋体" w:hAnsi="宋体" w:eastAsia="宋体" w:cs="宋体"/>
          <w:color w:val="auto"/>
          <w:sz w:val="24"/>
          <w:lang w:eastAsia="zh-CN"/>
        </w:rPr>
        <w:t>）</w:t>
      </w:r>
      <w:r>
        <w:rPr>
          <w:rFonts w:hint="eastAsia" w:ascii="宋体" w:hAnsi="宋体" w:eastAsia="宋体" w:cs="宋体"/>
          <w:color w:val="auto"/>
          <w:sz w:val="24"/>
        </w:rPr>
        <w:t>以内审计费由发包人承担，</w:t>
      </w:r>
      <w:r>
        <w:rPr>
          <w:rFonts w:hint="eastAsia" w:ascii="宋体" w:hAnsi="宋体" w:eastAsia="宋体" w:cs="宋体"/>
          <w:color w:val="auto"/>
          <w:sz w:val="24"/>
          <w:lang w:eastAsia="zh-CN"/>
        </w:rPr>
        <w:t>如果</w:t>
      </w:r>
      <w:r>
        <w:rPr>
          <w:rFonts w:hint="eastAsia" w:ascii="宋体" w:hAnsi="宋体" w:eastAsia="宋体" w:cs="宋体"/>
          <w:color w:val="auto"/>
          <w:sz w:val="24"/>
        </w:rPr>
        <w:t>核减额超过5%</w:t>
      </w:r>
      <w:r>
        <w:rPr>
          <w:rFonts w:hint="eastAsia" w:ascii="宋体" w:hAnsi="宋体" w:eastAsia="宋体" w:cs="宋体"/>
          <w:color w:val="auto"/>
          <w:sz w:val="24"/>
          <w:lang w:eastAsia="zh-CN"/>
        </w:rPr>
        <w:t>所有</w:t>
      </w:r>
      <w:r>
        <w:rPr>
          <w:rFonts w:hint="eastAsia" w:ascii="宋体" w:hAnsi="宋体" w:eastAsia="宋体" w:cs="宋体"/>
          <w:color w:val="auto"/>
          <w:sz w:val="24"/>
        </w:rPr>
        <w:t>审计费由承包人承担，发包人从工程款中扣除。具体计费标准及方式以发包人与委托的审计单位签约计费方式为准。</w:t>
      </w:r>
    </w:p>
    <w:p w14:paraId="06CAA3F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14.3 最终结清</w:t>
      </w:r>
    </w:p>
    <w:p w14:paraId="6428626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14.3.1 最终结清申请单</w:t>
      </w:r>
    </w:p>
    <w:p w14:paraId="6F68D24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承包人提交最终结清申请单的份数：</w:t>
      </w:r>
      <w:r>
        <w:rPr>
          <w:rFonts w:hint="eastAsia" w:ascii="宋体" w:hAnsi="宋体" w:eastAsia="宋体" w:cs="宋体"/>
          <w:color w:val="auto"/>
          <w:sz w:val="24"/>
          <w:u w:val="single"/>
        </w:rPr>
        <w:t xml:space="preserve"> 叁份  </w:t>
      </w:r>
      <w:r>
        <w:rPr>
          <w:rFonts w:hint="eastAsia" w:ascii="宋体" w:hAnsi="宋体" w:eastAsia="宋体" w:cs="宋体"/>
          <w:color w:val="auto"/>
          <w:sz w:val="24"/>
        </w:rPr>
        <w:t>。</w:t>
      </w:r>
    </w:p>
    <w:p w14:paraId="1617AC72">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承包人提交最终结算申请单的期限：</w:t>
      </w:r>
      <w:r>
        <w:rPr>
          <w:rFonts w:hint="eastAsia" w:ascii="宋体" w:hAnsi="宋体" w:eastAsia="宋体" w:cs="宋体"/>
          <w:color w:val="auto"/>
          <w:sz w:val="24"/>
          <w:u w:val="single"/>
        </w:rPr>
        <w:t xml:space="preserve">在缺陷责任期终止证书颁发后7日内  。 </w:t>
      </w:r>
    </w:p>
    <w:p w14:paraId="7AF19DB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14.3.2 最终结清证书和支付</w:t>
      </w:r>
    </w:p>
    <w:p w14:paraId="4243D1E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（1）发包人完成最终结清申请单的审批并颁发最终结清证书的期限：</w:t>
      </w:r>
      <w:r>
        <w:rPr>
          <w:rFonts w:hint="eastAsia" w:ascii="宋体" w:hAnsi="宋体" w:eastAsia="宋体" w:cs="宋体"/>
          <w:color w:val="auto"/>
          <w:sz w:val="24"/>
          <w:u w:val="single"/>
        </w:rPr>
        <w:t xml:space="preserve">在收到承包人提交的最终结清申请单后14天内  </w:t>
      </w:r>
      <w:r>
        <w:rPr>
          <w:rFonts w:hint="eastAsia" w:ascii="宋体" w:hAnsi="宋体" w:eastAsia="宋体" w:cs="宋体"/>
          <w:color w:val="auto"/>
          <w:sz w:val="24"/>
        </w:rPr>
        <w:t>。</w:t>
      </w:r>
    </w:p>
    <w:p w14:paraId="43827CA3">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（2）发包人完成支付的期限：</w:t>
      </w:r>
      <w:r>
        <w:rPr>
          <w:rFonts w:hint="eastAsia" w:ascii="宋体" w:hAnsi="宋体" w:eastAsia="宋体" w:cs="宋体"/>
          <w:color w:val="auto"/>
          <w:sz w:val="24"/>
          <w:u w:val="single"/>
        </w:rPr>
        <w:t>在颁发最终结清证书后30日内完成支付 。</w:t>
      </w:r>
      <w:bookmarkEnd w:id="580"/>
      <w:bookmarkEnd w:id="581"/>
      <w:bookmarkEnd w:id="582"/>
      <w:bookmarkEnd w:id="583"/>
      <w:bookmarkEnd w:id="584"/>
      <w:bookmarkEnd w:id="585"/>
      <w:bookmarkEnd w:id="586"/>
      <w:bookmarkEnd w:id="592"/>
    </w:p>
    <w:p w14:paraId="5C659B32">
      <w:pPr>
        <w:pStyle w:val="5"/>
        <w:spacing w:before="0" w:after="0" w:line="360" w:lineRule="auto"/>
        <w:ind w:firstLine="482"/>
        <w:rPr>
          <w:rFonts w:hint="eastAsia" w:ascii="宋体" w:hAnsi="宋体" w:eastAsia="宋体" w:cs="宋体"/>
          <w:color w:val="auto"/>
          <w:sz w:val="24"/>
          <w:szCs w:val="24"/>
        </w:rPr>
      </w:pPr>
      <w:bookmarkStart w:id="594" w:name="_Toc351203647"/>
      <w:bookmarkStart w:id="595" w:name="_Toc267251483"/>
      <w:bookmarkStart w:id="596" w:name="_Toc267251482"/>
      <w:bookmarkStart w:id="597" w:name="_Toc267251484"/>
      <w:bookmarkStart w:id="598" w:name="_Toc267251485"/>
      <w:bookmarkStart w:id="599" w:name="_Toc267251488"/>
      <w:bookmarkStart w:id="600" w:name="_Toc267251486"/>
      <w:bookmarkStart w:id="601" w:name="_Toc267251490"/>
      <w:bookmarkStart w:id="602" w:name="_Toc267251489"/>
      <w:bookmarkStart w:id="603" w:name="_Toc267251494"/>
      <w:bookmarkStart w:id="604" w:name="_Toc267251501"/>
      <w:bookmarkStart w:id="605" w:name="_Toc267251491"/>
      <w:bookmarkStart w:id="606" w:name="_Toc267251497"/>
      <w:bookmarkStart w:id="607" w:name="_Toc267251502"/>
      <w:bookmarkStart w:id="608" w:name="_Toc267251496"/>
      <w:bookmarkStart w:id="609" w:name="_Toc267251492"/>
      <w:bookmarkStart w:id="610" w:name="_Toc267251503"/>
      <w:bookmarkStart w:id="611" w:name="_Toc267251498"/>
      <w:bookmarkStart w:id="612" w:name="_Toc267251493"/>
      <w:bookmarkStart w:id="613" w:name="_Toc267251495"/>
      <w:bookmarkStart w:id="614" w:name="_Toc267251499"/>
      <w:bookmarkStart w:id="615" w:name="_Toc267251504"/>
      <w:bookmarkStart w:id="616" w:name="_Toc267251506"/>
      <w:bookmarkStart w:id="617" w:name="_Toc267251507"/>
      <w:bookmarkStart w:id="618" w:name="_Toc267251508"/>
      <w:bookmarkStart w:id="619" w:name="_Toc267251509"/>
      <w:bookmarkStart w:id="620" w:name="_Toc267251513"/>
      <w:bookmarkStart w:id="621" w:name="_Toc267251514"/>
      <w:bookmarkStart w:id="622" w:name="_Toc267251515"/>
      <w:bookmarkStart w:id="623" w:name="_Toc267251510"/>
      <w:bookmarkStart w:id="624" w:name="_Toc267251511"/>
      <w:r>
        <w:rPr>
          <w:rFonts w:hint="eastAsia" w:ascii="宋体" w:hAnsi="宋体" w:eastAsia="宋体" w:cs="宋体"/>
          <w:color w:val="auto"/>
          <w:sz w:val="24"/>
          <w:szCs w:val="24"/>
        </w:rPr>
        <w:t>15、缺陷责任期与保修</w:t>
      </w:r>
      <w:bookmarkEnd w:id="594"/>
    </w:p>
    <w:p w14:paraId="63DE210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15.1缺陷责任期</w:t>
      </w:r>
      <w:bookmarkEnd w:id="595"/>
    </w:p>
    <w:p w14:paraId="245505A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缺陷责任期的具体期限：</w:t>
      </w:r>
      <w:r>
        <w:rPr>
          <w:rFonts w:hint="eastAsia" w:ascii="宋体" w:hAnsi="宋体" w:eastAsia="宋体" w:cs="宋体"/>
          <w:color w:val="auto"/>
          <w:sz w:val="24"/>
          <w:u w:val="single"/>
        </w:rPr>
        <w:t>自实际竣工日期起</w:t>
      </w:r>
      <w:r>
        <w:rPr>
          <w:rFonts w:hint="eastAsia" w:ascii="宋体" w:hAnsi="宋体" w:eastAsia="宋体" w:cs="宋体"/>
          <w:b/>
          <w:color w:val="auto"/>
          <w:sz w:val="24"/>
          <w:u w:val="single"/>
        </w:rPr>
        <w:t xml:space="preserve">24个月 </w:t>
      </w:r>
      <w:r>
        <w:rPr>
          <w:rFonts w:hint="eastAsia" w:ascii="宋体" w:hAnsi="宋体" w:eastAsia="宋体" w:cs="宋体"/>
          <w:color w:val="auto"/>
          <w:sz w:val="24"/>
        </w:rPr>
        <w:t>。</w:t>
      </w:r>
    </w:p>
    <w:p w14:paraId="2B48A75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15.2 质量保证金</w:t>
      </w:r>
    </w:p>
    <w:p w14:paraId="3670641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关于是否扣留质量保证金的约定：</w:t>
      </w:r>
      <w:r>
        <w:rPr>
          <w:rFonts w:hint="eastAsia" w:ascii="宋体" w:hAnsi="宋体" w:eastAsia="宋体" w:cs="宋体"/>
          <w:color w:val="auto"/>
          <w:sz w:val="24"/>
          <w:highlight w:val="none"/>
          <w:u w:val="single"/>
        </w:rPr>
        <w:t xml:space="preserve"> 扣留质量保证金 </w:t>
      </w:r>
      <w:r>
        <w:rPr>
          <w:rFonts w:hint="eastAsia" w:ascii="宋体" w:hAnsi="宋体" w:eastAsia="宋体" w:cs="宋体"/>
          <w:color w:val="auto"/>
          <w:sz w:val="24"/>
          <w:highlight w:val="none"/>
        </w:rPr>
        <w:t>。</w:t>
      </w:r>
    </w:p>
    <w:p w14:paraId="4937B8B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15.2.1 承包人提供质量保证金的方式</w:t>
      </w:r>
    </w:p>
    <w:p w14:paraId="4746B33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质量保证金采用以下第</w:t>
      </w:r>
      <w:r>
        <w:rPr>
          <w:rFonts w:hint="eastAsia" w:ascii="宋体" w:hAnsi="宋体" w:eastAsia="宋体" w:cs="宋体"/>
          <w:color w:val="auto"/>
          <w:sz w:val="24"/>
          <w:highlight w:val="none"/>
          <w:u w:val="single"/>
        </w:rPr>
        <w:t xml:space="preserve"> ⑵ </w:t>
      </w:r>
      <w:r>
        <w:rPr>
          <w:rFonts w:hint="eastAsia" w:ascii="宋体" w:hAnsi="宋体" w:eastAsia="宋体" w:cs="宋体"/>
          <w:color w:val="auto"/>
          <w:sz w:val="24"/>
          <w:highlight w:val="none"/>
        </w:rPr>
        <w:t>种方式：</w:t>
      </w:r>
    </w:p>
    <w:p w14:paraId="3B92D87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⑴质量保证金保函，保证金额为：</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p>
    <w:p w14:paraId="4970849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u w:val="single"/>
          <w:lang w:val="en-US" w:eastAsia="zh-CN"/>
        </w:rPr>
        <w:t xml:space="preserve">  </w:t>
      </w:r>
      <w:r>
        <w:rPr>
          <w:rFonts w:hint="eastAsia" w:ascii="宋体" w:hAnsi="宋体" w:eastAsia="宋体" w:cs="宋体"/>
          <w:color w:val="auto"/>
          <w:sz w:val="24"/>
          <w:highlight w:val="none"/>
          <w:u w:val="single"/>
        </w:rPr>
        <w:t>/</w:t>
      </w:r>
      <w:r>
        <w:rPr>
          <w:rFonts w:hint="eastAsia" w:ascii="宋体" w:hAnsi="宋体" w:cs="宋体"/>
          <w:b/>
          <w:color w:val="auto"/>
          <w:sz w:val="24"/>
          <w:highlight w:val="none"/>
          <w:u w:val="single"/>
          <w:lang w:val="en-US" w:eastAsia="zh-CN"/>
        </w:rPr>
        <w:t xml:space="preserve">  </w:t>
      </w:r>
      <w:r>
        <w:rPr>
          <w:rFonts w:hint="eastAsia" w:ascii="宋体" w:hAnsi="宋体" w:eastAsia="宋体" w:cs="宋体"/>
          <w:color w:val="auto"/>
          <w:sz w:val="24"/>
          <w:highlight w:val="none"/>
        </w:rPr>
        <w:t>的工程款；</w:t>
      </w:r>
    </w:p>
    <w:p w14:paraId="08E7623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⑶其他方式：</w:t>
      </w:r>
      <w:r>
        <w:rPr>
          <w:rFonts w:hint="eastAsia" w:ascii="宋体" w:hAnsi="宋体" w:eastAsia="宋体" w:cs="宋体"/>
          <w:color w:val="auto"/>
          <w:sz w:val="24"/>
          <w:highlight w:val="none"/>
          <w:u w:val="single"/>
        </w:rPr>
        <w:t xml:space="preserve">  工程结算价的3%    </w:t>
      </w:r>
      <w:r>
        <w:rPr>
          <w:rFonts w:hint="eastAsia" w:ascii="宋体" w:hAnsi="宋体" w:eastAsia="宋体" w:cs="宋体"/>
          <w:color w:val="auto"/>
          <w:sz w:val="24"/>
          <w:highlight w:val="none"/>
        </w:rPr>
        <w:t>。</w:t>
      </w:r>
    </w:p>
    <w:p w14:paraId="15B5FD0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15.2.2 质量保证金的扣留 </w:t>
      </w:r>
    </w:p>
    <w:p w14:paraId="2D7B8CF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质量保证金的扣留采取以下第</w:t>
      </w:r>
      <w:r>
        <w:rPr>
          <w:rFonts w:hint="eastAsia" w:ascii="宋体" w:hAnsi="宋体" w:eastAsia="宋体" w:cs="宋体"/>
          <w:color w:val="auto"/>
          <w:sz w:val="24"/>
          <w:highlight w:val="none"/>
          <w:u w:val="single"/>
        </w:rPr>
        <w:t xml:space="preserve"> ⑵  </w:t>
      </w:r>
      <w:r>
        <w:rPr>
          <w:rFonts w:hint="eastAsia" w:ascii="宋体" w:hAnsi="宋体" w:eastAsia="宋体" w:cs="宋体"/>
          <w:color w:val="auto"/>
          <w:sz w:val="24"/>
          <w:highlight w:val="none"/>
        </w:rPr>
        <w:t>种方式：</w:t>
      </w:r>
    </w:p>
    <w:p w14:paraId="2DA4FE8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⑴在支付工程进度款时逐次扣留，在此情形下，质量保证金的计算基数不包括预付款的支付、扣回以及价格调整的金额；</w:t>
      </w:r>
    </w:p>
    <w:p w14:paraId="638E250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⑵工程竣工结算审计结束时一次性扣留质量保证金；</w:t>
      </w:r>
    </w:p>
    <w:p w14:paraId="7131A8F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⑶其他扣留方式：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5CC1043E">
      <w:pPr>
        <w:spacing w:line="360"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关于质量保证金的补充约定：</w:t>
      </w:r>
      <w:r>
        <w:rPr>
          <w:rFonts w:hint="eastAsia" w:ascii="宋体" w:hAnsi="宋体" w:eastAsia="宋体" w:cs="宋体"/>
          <w:color w:val="auto"/>
          <w:sz w:val="24"/>
          <w:highlight w:val="none"/>
          <w:u w:val="single"/>
        </w:rPr>
        <w:t>在颁发最终结清证书后30日内无息退还。</w:t>
      </w:r>
      <w:bookmarkEnd w:id="596"/>
      <w:bookmarkEnd w:id="597"/>
    </w:p>
    <w:p w14:paraId="525B16F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15.3保修</w:t>
      </w:r>
      <w:bookmarkEnd w:id="598"/>
    </w:p>
    <w:p w14:paraId="681C720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15.3.1 保修责任</w:t>
      </w:r>
    </w:p>
    <w:p w14:paraId="30B1B47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工程保修期为：</w:t>
      </w:r>
      <w:r>
        <w:rPr>
          <w:rFonts w:hint="eastAsia" w:ascii="宋体" w:hAnsi="宋体" w:eastAsia="宋体" w:cs="宋体"/>
          <w:color w:val="auto"/>
          <w:sz w:val="24"/>
          <w:u w:val="single"/>
        </w:rPr>
        <w:t xml:space="preserve">  按国家有关规定 </w:t>
      </w:r>
      <w:r>
        <w:rPr>
          <w:rFonts w:hint="eastAsia" w:ascii="宋体" w:hAnsi="宋体" w:eastAsia="宋体" w:cs="宋体"/>
          <w:color w:val="auto"/>
          <w:sz w:val="24"/>
        </w:rPr>
        <w:t>。</w:t>
      </w:r>
    </w:p>
    <w:p w14:paraId="4BDF9E2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15.3.2 修复通知</w:t>
      </w:r>
    </w:p>
    <w:p w14:paraId="67FC8338">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承包人收到保修通知并到达工程现场的合理时间：</w:t>
      </w:r>
      <w:r>
        <w:rPr>
          <w:rFonts w:hint="eastAsia" w:ascii="宋体" w:hAnsi="宋体" w:eastAsia="宋体" w:cs="宋体"/>
          <w:color w:val="auto"/>
          <w:sz w:val="24"/>
          <w:u w:val="single"/>
        </w:rPr>
        <w:t>收到保修通知或口头通知后48小时内</w:t>
      </w:r>
      <w:r>
        <w:rPr>
          <w:rFonts w:hint="eastAsia" w:ascii="宋体" w:hAnsi="宋体" w:eastAsia="宋体" w:cs="宋体"/>
          <w:color w:val="auto"/>
          <w:sz w:val="24"/>
        </w:rPr>
        <w:t>。</w:t>
      </w:r>
      <w:bookmarkEnd w:id="599"/>
      <w:bookmarkEnd w:id="600"/>
      <w:bookmarkEnd w:id="601"/>
      <w:bookmarkEnd w:id="602"/>
    </w:p>
    <w:p w14:paraId="2970563E">
      <w:pPr>
        <w:pStyle w:val="5"/>
        <w:spacing w:before="0" w:after="0" w:line="360" w:lineRule="auto"/>
        <w:ind w:firstLine="482"/>
        <w:rPr>
          <w:rFonts w:hint="eastAsia" w:ascii="宋体" w:hAnsi="宋体" w:eastAsia="宋体" w:cs="宋体"/>
          <w:color w:val="auto"/>
          <w:sz w:val="24"/>
          <w:szCs w:val="24"/>
        </w:rPr>
      </w:pPr>
      <w:bookmarkStart w:id="625" w:name="_Toc280868717"/>
      <w:bookmarkStart w:id="626" w:name="_Toc280868718"/>
      <w:r>
        <w:rPr>
          <w:rFonts w:hint="eastAsia" w:ascii="宋体" w:hAnsi="宋体" w:eastAsia="宋体" w:cs="宋体"/>
          <w:color w:val="auto"/>
          <w:sz w:val="24"/>
          <w:szCs w:val="24"/>
        </w:rPr>
        <w:t>16、违约</w:t>
      </w:r>
    </w:p>
    <w:p w14:paraId="6FA9E2F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16.1 发包人违约</w:t>
      </w:r>
    </w:p>
    <w:p w14:paraId="1E1EAD4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16.1.1发包人违约的情形</w:t>
      </w:r>
    </w:p>
    <w:p w14:paraId="6E503E9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发包人违约的其他情形：</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w:t>
      </w:r>
    </w:p>
    <w:p w14:paraId="5D92A65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16.1.2 发包人违约的责任</w:t>
      </w:r>
    </w:p>
    <w:p w14:paraId="67F35EF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发包人违约责任的承担方式和计算方法：</w:t>
      </w:r>
    </w:p>
    <w:p w14:paraId="15D4354E">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（1）因发包人原因未能在计划开工日期前7天内下达开工通知的违约责任：</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发包人顺延工期</w:t>
      </w:r>
      <w:r>
        <w:rPr>
          <w:rFonts w:hint="eastAsia" w:ascii="宋体" w:hAnsi="宋体" w:eastAsia="宋体" w:cs="宋体"/>
          <w:color w:val="auto"/>
          <w:sz w:val="24"/>
        </w:rPr>
        <w:t>。</w:t>
      </w:r>
    </w:p>
    <w:p w14:paraId="3B2BBC1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u w:val="single"/>
        </w:rPr>
        <w:t xml:space="preserve"> 发包人顺延工期</w:t>
      </w:r>
      <w:r>
        <w:rPr>
          <w:rFonts w:hint="eastAsia" w:ascii="宋体" w:hAnsi="宋体" w:eastAsia="宋体" w:cs="宋体"/>
          <w:color w:val="auto"/>
          <w:sz w:val="24"/>
        </w:rPr>
        <w:t>。</w:t>
      </w:r>
    </w:p>
    <w:p w14:paraId="4C43686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（3）因发包人违反合同约定造成暂停施工的违约责任：</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发包人顺延工期  </w:t>
      </w:r>
      <w:r>
        <w:rPr>
          <w:rFonts w:hint="eastAsia" w:ascii="宋体" w:hAnsi="宋体" w:eastAsia="宋体" w:cs="宋体"/>
          <w:color w:val="auto"/>
          <w:sz w:val="24"/>
        </w:rPr>
        <w:t>。</w:t>
      </w:r>
    </w:p>
    <w:p w14:paraId="74CD644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（4）发包人无正当理由没有在约定期限内发出复工指示，导致承包人无法复工的违约责任：</w:t>
      </w:r>
      <w:r>
        <w:rPr>
          <w:rFonts w:hint="eastAsia" w:ascii="宋体" w:hAnsi="宋体" w:eastAsia="宋体" w:cs="宋体"/>
          <w:color w:val="auto"/>
          <w:sz w:val="24"/>
          <w:u w:val="single"/>
        </w:rPr>
        <w:t xml:space="preserve">发包人顺延工期 </w:t>
      </w:r>
      <w:r>
        <w:rPr>
          <w:rFonts w:hint="eastAsia" w:ascii="宋体" w:hAnsi="宋体" w:eastAsia="宋体" w:cs="宋体"/>
          <w:color w:val="auto"/>
          <w:sz w:val="24"/>
        </w:rPr>
        <w:t>。</w:t>
      </w:r>
    </w:p>
    <w:p w14:paraId="79C06A1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（5）其他：</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w:t>
      </w:r>
    </w:p>
    <w:p w14:paraId="59D8B7D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16.1.3 因发包人违约解除合同</w:t>
      </w:r>
    </w:p>
    <w:p w14:paraId="40E8555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承包人按16.1.1项〔发包人违约的情形〕约定暂停施工满</w:t>
      </w:r>
      <w:r>
        <w:rPr>
          <w:rFonts w:hint="eastAsia" w:ascii="宋体" w:hAnsi="宋体" w:eastAsia="宋体" w:cs="宋体"/>
          <w:color w:val="auto"/>
          <w:sz w:val="24"/>
          <w:u w:val="single"/>
        </w:rPr>
        <w:t xml:space="preserve"> 90 </w:t>
      </w:r>
      <w:r>
        <w:rPr>
          <w:rFonts w:hint="eastAsia" w:ascii="宋体" w:hAnsi="宋体" w:eastAsia="宋体" w:cs="宋体"/>
          <w:color w:val="auto"/>
          <w:sz w:val="24"/>
        </w:rPr>
        <w:t>天后发包人仍不纠正其违约行为并致使合同目的不能实现的，承包人有权解除合同。</w:t>
      </w:r>
    </w:p>
    <w:p w14:paraId="3457508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16.2 承包人违约</w:t>
      </w:r>
    </w:p>
    <w:p w14:paraId="2CFAC7E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16.2.1 承包人违约的情形</w:t>
      </w:r>
    </w:p>
    <w:p w14:paraId="202B3330">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承包人违约的其他情形：</w:t>
      </w:r>
      <w:r>
        <w:rPr>
          <w:rFonts w:hint="eastAsia" w:ascii="宋体" w:hAnsi="宋体" w:eastAsia="宋体" w:cs="宋体"/>
          <w:color w:val="auto"/>
          <w:sz w:val="24"/>
          <w:u w:val="single"/>
        </w:rPr>
        <w:t>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u w:val="single"/>
        </w:rPr>
        <w:t>按每拖延一天</w:t>
      </w:r>
      <w:r>
        <w:rPr>
          <w:rFonts w:hint="eastAsia" w:ascii="宋体" w:hAnsi="宋体" w:cs="宋体"/>
          <w:b/>
          <w:color w:val="auto"/>
          <w:sz w:val="24"/>
          <w:u w:val="single"/>
          <w:lang w:val="en-US" w:eastAsia="zh-CN"/>
        </w:rPr>
        <w:t>罚款2000元</w:t>
      </w:r>
      <w:r>
        <w:rPr>
          <w:rFonts w:hint="eastAsia" w:ascii="宋体" w:hAnsi="宋体" w:eastAsia="宋体" w:cs="宋体"/>
          <w:color w:val="auto"/>
          <w:sz w:val="24"/>
          <w:u w:val="single"/>
        </w:rPr>
        <w:t>，在结算时扣除。</w:t>
      </w:r>
    </w:p>
    <w:p w14:paraId="57A1908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16.2.2承包人违约的责任</w:t>
      </w:r>
    </w:p>
    <w:p w14:paraId="09C7778C">
      <w:pPr>
        <w:spacing w:line="360" w:lineRule="auto"/>
        <w:ind w:firstLine="480"/>
        <w:rPr>
          <w:rFonts w:hint="default" w:ascii="宋体" w:hAnsi="宋体" w:eastAsia="宋体" w:cs="宋体"/>
          <w:b/>
          <w:color w:val="auto"/>
          <w:sz w:val="24"/>
          <w:u w:val="single"/>
          <w:lang w:val="en-US" w:eastAsia="zh-CN"/>
        </w:rPr>
      </w:pPr>
      <w:r>
        <w:rPr>
          <w:rFonts w:hint="eastAsia" w:ascii="宋体" w:hAnsi="宋体" w:eastAsia="宋体" w:cs="宋体"/>
          <w:color w:val="auto"/>
          <w:sz w:val="24"/>
        </w:rPr>
        <w:t>承包人违约责任的承担方式和计算方法：</w:t>
      </w:r>
      <w:r>
        <w:rPr>
          <w:rFonts w:hint="eastAsia" w:ascii="宋体" w:hAnsi="宋体" w:eastAsia="宋体" w:cs="宋体"/>
          <w:color w:val="auto"/>
          <w:sz w:val="24"/>
          <w:u w:val="single"/>
        </w:rPr>
        <w:t>承包人承担全部费用，费用工期不顺延。工期延误每延误一天，</w:t>
      </w:r>
      <w:r>
        <w:rPr>
          <w:rFonts w:hint="eastAsia" w:ascii="宋体" w:hAnsi="宋体" w:eastAsia="宋体" w:cs="宋体"/>
          <w:b/>
          <w:color w:val="auto"/>
          <w:sz w:val="24"/>
          <w:u w:val="single"/>
        </w:rPr>
        <w:t>每延误一天，承包人赔偿给发包人</w:t>
      </w:r>
      <w:r>
        <w:rPr>
          <w:rFonts w:hint="eastAsia" w:ascii="宋体" w:hAnsi="宋体" w:cs="宋体"/>
          <w:b/>
          <w:color w:val="auto"/>
          <w:sz w:val="24"/>
          <w:u w:val="single"/>
          <w:lang w:val="en-US" w:eastAsia="zh-CN"/>
        </w:rPr>
        <w:t>一</w:t>
      </w:r>
      <w:r>
        <w:rPr>
          <w:rFonts w:hint="eastAsia" w:ascii="宋体" w:hAnsi="宋体" w:eastAsia="宋体" w:cs="宋体"/>
          <w:b/>
          <w:color w:val="auto"/>
          <w:sz w:val="24"/>
          <w:u w:val="single"/>
          <w:lang w:val="en-US" w:eastAsia="zh-CN"/>
        </w:rPr>
        <w:t>天2000元</w:t>
      </w:r>
      <w:r>
        <w:rPr>
          <w:rFonts w:hint="eastAsia" w:ascii="宋体" w:hAnsi="宋体" w:cs="宋体"/>
          <w:b/>
          <w:color w:val="auto"/>
          <w:sz w:val="24"/>
          <w:u w:val="single"/>
          <w:lang w:val="en-US" w:eastAsia="zh-CN"/>
        </w:rPr>
        <w:t>的</w:t>
      </w:r>
      <w:r>
        <w:rPr>
          <w:rFonts w:hint="eastAsia" w:ascii="宋体" w:hAnsi="宋体" w:eastAsia="宋体" w:cs="宋体"/>
          <w:b/>
          <w:color w:val="auto"/>
          <w:sz w:val="24"/>
          <w:u w:val="single"/>
        </w:rPr>
        <w:t>违约金</w:t>
      </w:r>
      <w:r>
        <w:rPr>
          <w:rFonts w:hint="eastAsia" w:ascii="宋体" w:hAnsi="宋体" w:cs="宋体"/>
          <w:b/>
          <w:color w:val="auto"/>
          <w:sz w:val="24"/>
          <w:u w:val="single"/>
          <w:lang w:eastAsia="zh-CN"/>
        </w:rPr>
        <w:t>。</w:t>
      </w:r>
    </w:p>
    <w:p w14:paraId="0114C5F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16.2.3 因承包人违约解除合同</w:t>
      </w:r>
    </w:p>
    <w:p w14:paraId="7D3CAAA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关于承包人违约解除合同的特别约定：</w:t>
      </w:r>
      <w:r>
        <w:rPr>
          <w:rFonts w:hint="eastAsia" w:ascii="宋体" w:hAnsi="宋体" w:eastAsia="宋体" w:cs="宋体"/>
          <w:color w:val="auto"/>
          <w:sz w:val="24"/>
          <w:u w:val="single"/>
        </w:rPr>
        <w:t>发包人没收全部</w:t>
      </w:r>
      <w:r>
        <w:rPr>
          <w:rFonts w:hint="eastAsia" w:ascii="宋体" w:hAnsi="宋体" w:cs="宋体"/>
          <w:color w:val="auto"/>
          <w:sz w:val="24"/>
          <w:u w:val="single"/>
          <w:lang w:val="en-US" w:eastAsia="zh-CN"/>
        </w:rPr>
        <w:t>履约保证金</w:t>
      </w:r>
      <w:r>
        <w:rPr>
          <w:rFonts w:hint="eastAsia" w:ascii="宋体" w:hAnsi="宋体" w:eastAsia="宋体" w:cs="宋体"/>
          <w:color w:val="auto"/>
          <w:sz w:val="24"/>
          <w:u w:val="single"/>
        </w:rPr>
        <w:t>并暂停对承包人的付款</w:t>
      </w:r>
      <w:r>
        <w:rPr>
          <w:rFonts w:hint="eastAsia" w:ascii="宋体" w:hAnsi="宋体" w:eastAsia="宋体" w:cs="宋体"/>
          <w:color w:val="auto"/>
          <w:sz w:val="24"/>
        </w:rPr>
        <w:t>。</w:t>
      </w:r>
    </w:p>
    <w:p w14:paraId="1B7FDD0F">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发包人继续使用承包人在施工现场的材料、设备、临时工程、承包人文件和由承包人或以其名义编制的其他文件的费用承担方式：</w:t>
      </w:r>
      <w:r>
        <w:rPr>
          <w:rFonts w:hint="eastAsia" w:ascii="宋体" w:hAnsi="宋体" w:eastAsia="宋体" w:cs="宋体"/>
          <w:color w:val="auto"/>
          <w:sz w:val="24"/>
          <w:u w:val="single"/>
        </w:rPr>
        <w:t xml:space="preserve">  施工现场的材料、设备由发包人承担费用，其它费用由承包人承担。</w:t>
      </w:r>
    </w:p>
    <w:p w14:paraId="6AB40853">
      <w:pPr>
        <w:pStyle w:val="5"/>
        <w:spacing w:before="0" w:after="0" w:line="360" w:lineRule="auto"/>
        <w:ind w:firstLine="482"/>
        <w:rPr>
          <w:rFonts w:hint="eastAsia" w:ascii="宋体" w:hAnsi="宋体" w:eastAsia="宋体" w:cs="宋体"/>
          <w:color w:val="auto"/>
          <w:sz w:val="24"/>
          <w:szCs w:val="24"/>
        </w:rPr>
      </w:pPr>
      <w:bookmarkStart w:id="627" w:name="_Toc351203649"/>
      <w:r>
        <w:rPr>
          <w:rFonts w:hint="eastAsia" w:ascii="宋体" w:hAnsi="宋体" w:eastAsia="宋体" w:cs="宋体"/>
          <w:color w:val="auto"/>
          <w:sz w:val="24"/>
          <w:szCs w:val="24"/>
        </w:rPr>
        <w:t>17、不可抗力</w:t>
      </w:r>
      <w:bookmarkEnd w:id="627"/>
      <w:r>
        <w:rPr>
          <w:rFonts w:hint="eastAsia" w:ascii="宋体" w:hAnsi="宋体" w:eastAsia="宋体" w:cs="宋体"/>
          <w:color w:val="auto"/>
          <w:sz w:val="24"/>
          <w:szCs w:val="24"/>
        </w:rPr>
        <w:t xml:space="preserve"> </w:t>
      </w:r>
      <w:bookmarkEnd w:id="625"/>
    </w:p>
    <w:p w14:paraId="55DEABC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17.1 不可抗力的确认</w:t>
      </w:r>
    </w:p>
    <w:p w14:paraId="529BB8E7">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除通用合同条款约定的不可抗力事件之外，视为不可抗力的其他情形：</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w:t>
      </w:r>
    </w:p>
    <w:p w14:paraId="59B1164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17.2因不可抗力解除合同</w:t>
      </w:r>
    </w:p>
    <w:p w14:paraId="411619A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合同解除后，发包人应在商定或确定发包人应支付款项后</w:t>
      </w:r>
      <w:r>
        <w:rPr>
          <w:rFonts w:hint="eastAsia" w:ascii="宋体" w:hAnsi="宋体" w:eastAsia="宋体" w:cs="宋体"/>
          <w:color w:val="auto"/>
          <w:sz w:val="24"/>
          <w:u w:val="single"/>
        </w:rPr>
        <w:t xml:space="preserve">  28  </w:t>
      </w:r>
      <w:r>
        <w:rPr>
          <w:rFonts w:hint="eastAsia" w:ascii="宋体" w:hAnsi="宋体" w:eastAsia="宋体" w:cs="宋体"/>
          <w:color w:val="auto"/>
          <w:sz w:val="24"/>
        </w:rPr>
        <w:t>天内完成款项的支付。</w:t>
      </w:r>
    </w:p>
    <w:p w14:paraId="35564CF1">
      <w:pPr>
        <w:pStyle w:val="5"/>
        <w:spacing w:before="0" w:after="0" w:line="360" w:lineRule="auto"/>
        <w:ind w:firstLine="482"/>
        <w:rPr>
          <w:rFonts w:hint="eastAsia" w:ascii="宋体" w:hAnsi="宋体" w:eastAsia="宋体" w:cs="宋体"/>
          <w:color w:val="auto"/>
          <w:sz w:val="24"/>
          <w:szCs w:val="24"/>
        </w:rPr>
      </w:pPr>
      <w:bookmarkStart w:id="628" w:name="_Toc351203650"/>
      <w:r>
        <w:rPr>
          <w:rFonts w:hint="eastAsia" w:ascii="宋体" w:hAnsi="宋体" w:eastAsia="宋体" w:cs="宋体"/>
          <w:color w:val="auto"/>
          <w:sz w:val="24"/>
          <w:szCs w:val="24"/>
        </w:rPr>
        <w:t>18、保险</w:t>
      </w:r>
      <w:bookmarkEnd w:id="626"/>
      <w:bookmarkEnd w:id="628"/>
    </w:p>
    <w:p w14:paraId="4709D53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18.1 工程保险</w:t>
      </w:r>
    </w:p>
    <w:p w14:paraId="0B576B21">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关于工程保险的特别约定：</w:t>
      </w:r>
      <w:r>
        <w:rPr>
          <w:rFonts w:hint="eastAsia" w:ascii="宋体" w:hAnsi="宋体" w:eastAsia="宋体" w:cs="宋体"/>
          <w:color w:val="auto"/>
          <w:sz w:val="24"/>
          <w:u w:val="single"/>
        </w:rPr>
        <w:t>为工程购买建筑工程一切险，保险费用由承包人支付</w:t>
      </w:r>
      <w:r>
        <w:rPr>
          <w:rFonts w:hint="eastAsia" w:ascii="宋体" w:hAnsi="宋体" w:eastAsia="宋体" w:cs="宋体"/>
          <w:color w:val="auto"/>
          <w:sz w:val="24"/>
        </w:rPr>
        <w:t>。</w:t>
      </w:r>
    </w:p>
    <w:p w14:paraId="2CBD851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18.2 其他保险</w:t>
      </w:r>
    </w:p>
    <w:p w14:paraId="19F0440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关于其他保险的约定：</w:t>
      </w:r>
      <w:r>
        <w:rPr>
          <w:rFonts w:hint="eastAsia" w:ascii="宋体" w:hAnsi="宋体" w:eastAsia="宋体" w:cs="宋体"/>
          <w:color w:val="auto"/>
          <w:sz w:val="24"/>
          <w:u w:val="single"/>
        </w:rPr>
        <w:t>承包人为施工现场的全部人员办理意外伤害保险、工程事故保险</w:t>
      </w:r>
      <w:r>
        <w:rPr>
          <w:rFonts w:hint="eastAsia" w:ascii="宋体" w:hAnsi="宋体" w:eastAsia="宋体" w:cs="宋体"/>
          <w:color w:val="auto"/>
          <w:sz w:val="24"/>
          <w:u w:val="none"/>
        </w:rPr>
        <w:t xml:space="preserve">。 </w:t>
      </w:r>
    </w:p>
    <w:p w14:paraId="56117896">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承包人是否应为其施工设备等办理财产保险：</w:t>
      </w:r>
      <w:r>
        <w:rPr>
          <w:rFonts w:hint="eastAsia" w:ascii="宋体" w:hAnsi="宋体" w:eastAsia="宋体" w:cs="宋体"/>
          <w:color w:val="auto"/>
          <w:sz w:val="24"/>
          <w:u w:val="single"/>
        </w:rPr>
        <w:t>承包人为其施工设备等办理财产保险</w:t>
      </w:r>
      <w:r>
        <w:rPr>
          <w:rFonts w:hint="eastAsia" w:ascii="宋体" w:hAnsi="宋体" w:eastAsia="宋体" w:cs="宋体"/>
          <w:color w:val="auto"/>
          <w:sz w:val="24"/>
        </w:rPr>
        <w:t>。</w:t>
      </w:r>
    </w:p>
    <w:p w14:paraId="78CE454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18.3 通知义务</w:t>
      </w:r>
    </w:p>
    <w:p w14:paraId="6A33622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关于变更保险合同时的通知义务的约定：</w:t>
      </w:r>
      <w:r>
        <w:rPr>
          <w:rFonts w:hint="eastAsia" w:ascii="宋体" w:hAnsi="宋体" w:eastAsia="宋体" w:cs="宋体"/>
          <w:color w:val="auto"/>
          <w:sz w:val="24"/>
          <w:u w:val="single"/>
        </w:rPr>
        <w:t>变更前应事先征得对方同意并通知监理人</w:t>
      </w:r>
      <w:r>
        <w:rPr>
          <w:rFonts w:hint="eastAsia" w:ascii="宋体" w:hAnsi="宋体" w:eastAsia="宋体" w:cs="宋体"/>
          <w:color w:val="auto"/>
          <w:sz w:val="24"/>
        </w:rPr>
        <w:t>。</w:t>
      </w:r>
      <w:bookmarkEnd w:id="603"/>
      <w:bookmarkEnd w:id="604"/>
      <w:bookmarkEnd w:id="605"/>
      <w:bookmarkEnd w:id="606"/>
      <w:bookmarkEnd w:id="607"/>
      <w:bookmarkEnd w:id="608"/>
      <w:bookmarkEnd w:id="609"/>
      <w:bookmarkEnd w:id="610"/>
      <w:bookmarkEnd w:id="611"/>
      <w:bookmarkEnd w:id="612"/>
      <w:bookmarkEnd w:id="613"/>
      <w:bookmarkEnd w:id="614"/>
    </w:p>
    <w:p w14:paraId="0884A81B">
      <w:pPr>
        <w:pStyle w:val="5"/>
        <w:spacing w:before="0" w:after="0" w:line="360" w:lineRule="auto"/>
        <w:ind w:firstLine="482"/>
        <w:rPr>
          <w:rFonts w:hint="eastAsia" w:ascii="宋体" w:hAnsi="宋体" w:eastAsia="宋体" w:cs="宋体"/>
          <w:color w:val="auto"/>
          <w:sz w:val="24"/>
          <w:szCs w:val="24"/>
        </w:rPr>
      </w:pPr>
      <w:bookmarkStart w:id="629" w:name="_Toc351203651"/>
      <w:r>
        <w:rPr>
          <w:rFonts w:hint="eastAsia" w:ascii="宋体" w:hAnsi="宋体" w:eastAsia="宋体" w:cs="宋体"/>
          <w:color w:val="auto"/>
          <w:sz w:val="24"/>
          <w:szCs w:val="24"/>
        </w:rPr>
        <w:t>19、争议解决</w:t>
      </w:r>
      <w:bookmarkEnd w:id="615"/>
      <w:bookmarkEnd w:id="616"/>
      <w:bookmarkEnd w:id="629"/>
    </w:p>
    <w:p w14:paraId="3DB23B8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19.1 争</w:t>
      </w:r>
      <w:bookmarkEnd w:id="617"/>
      <w:r>
        <w:rPr>
          <w:rFonts w:hint="eastAsia" w:ascii="宋体" w:hAnsi="宋体" w:eastAsia="宋体" w:cs="宋体"/>
          <w:color w:val="auto"/>
          <w:sz w:val="24"/>
        </w:rPr>
        <w:t>议评审</w:t>
      </w:r>
    </w:p>
    <w:p w14:paraId="6B72136E">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合同当事人是否同意将工程争议提交争议评审小组决定：</w:t>
      </w:r>
      <w:r>
        <w:rPr>
          <w:rFonts w:hint="eastAsia" w:ascii="宋体" w:hAnsi="宋体" w:eastAsia="宋体" w:cs="宋体"/>
          <w:color w:val="auto"/>
          <w:sz w:val="24"/>
          <w:u w:val="single"/>
        </w:rPr>
        <w:t xml:space="preserve">  /  。</w:t>
      </w:r>
    </w:p>
    <w:p w14:paraId="54B6936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19.1.1 争议评审小组的确定</w:t>
      </w:r>
    </w:p>
    <w:p w14:paraId="203F2BF7">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争议评审小组成员的确定：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18CA7D8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选定争议评审员的期限：</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6660E8D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争议评审小组成员的报酬承担方式：</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00F7F27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其他事项的约定：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3DB6E6F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19.1.2 争议评审小组的决定</w:t>
      </w:r>
    </w:p>
    <w:p w14:paraId="737B429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合同当事人关于本项的约定：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5CD00BF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19.2仲裁或诉讼</w:t>
      </w:r>
      <w:bookmarkEnd w:id="618"/>
    </w:p>
    <w:p w14:paraId="1772876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因合同及合同有关事项发生的争议，按下列第</w:t>
      </w:r>
      <w:r>
        <w:rPr>
          <w:rFonts w:hint="eastAsia" w:ascii="宋体" w:hAnsi="宋体" w:eastAsia="宋体" w:cs="宋体"/>
          <w:color w:val="auto"/>
          <w:sz w:val="24"/>
          <w:u w:val="single"/>
        </w:rPr>
        <w:t xml:space="preserve">  (2)   </w:t>
      </w:r>
      <w:r>
        <w:rPr>
          <w:rFonts w:hint="eastAsia" w:ascii="宋体" w:hAnsi="宋体" w:eastAsia="宋体" w:cs="宋体"/>
          <w:color w:val="auto"/>
          <w:sz w:val="24"/>
        </w:rPr>
        <w:t>种方式解决：</w:t>
      </w:r>
    </w:p>
    <w:p w14:paraId="58A409B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（1）向</w:t>
      </w:r>
      <w:r>
        <w:rPr>
          <w:rFonts w:hint="eastAsia" w:ascii="宋体" w:hAnsi="宋体" w:eastAsia="宋体" w:cs="宋体"/>
          <w:color w:val="auto"/>
          <w:sz w:val="24"/>
          <w:u w:val="single"/>
        </w:rPr>
        <w:t xml:space="preserve">   /  </w:t>
      </w:r>
      <w:r>
        <w:rPr>
          <w:rFonts w:hint="eastAsia" w:ascii="宋体" w:hAnsi="宋体" w:eastAsia="宋体" w:cs="宋体"/>
          <w:color w:val="auto"/>
          <w:sz w:val="24"/>
        </w:rPr>
        <w:t>仲裁委员会申请仲裁；</w:t>
      </w:r>
    </w:p>
    <w:p w14:paraId="40759E2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（2）向</w:t>
      </w:r>
      <w:r>
        <w:rPr>
          <w:rFonts w:hint="eastAsia" w:ascii="宋体" w:hAnsi="宋体" w:eastAsia="宋体" w:cs="宋体"/>
          <w:color w:val="auto"/>
          <w:sz w:val="24"/>
          <w:u w:val="single"/>
        </w:rPr>
        <w:t xml:space="preserve">  工程所在地由管辖权 </w:t>
      </w:r>
      <w:r>
        <w:rPr>
          <w:rFonts w:hint="eastAsia" w:ascii="宋体" w:hAnsi="宋体" w:eastAsia="宋体" w:cs="宋体"/>
          <w:color w:val="auto"/>
          <w:sz w:val="24"/>
        </w:rPr>
        <w:t>人民法院起诉。</w:t>
      </w:r>
      <w:bookmarkEnd w:id="619"/>
      <w:bookmarkEnd w:id="620"/>
      <w:bookmarkEnd w:id="621"/>
      <w:bookmarkEnd w:id="622"/>
      <w:bookmarkEnd w:id="623"/>
      <w:bookmarkEnd w:id="624"/>
    </w:p>
    <w:p w14:paraId="68EF94C9">
      <w:pPr>
        <w:pStyle w:val="5"/>
        <w:spacing w:before="0" w:after="0" w:line="360" w:lineRule="auto"/>
        <w:ind w:firstLine="482"/>
        <w:rPr>
          <w:rFonts w:hint="eastAsia" w:ascii="宋体" w:hAnsi="宋体" w:eastAsia="宋体" w:cs="宋体"/>
          <w:color w:val="auto"/>
          <w:sz w:val="24"/>
          <w:szCs w:val="24"/>
        </w:rPr>
      </w:pPr>
      <w:r>
        <w:rPr>
          <w:rFonts w:hint="eastAsia" w:ascii="宋体" w:hAnsi="宋体" w:eastAsia="宋体" w:cs="宋体"/>
          <w:color w:val="auto"/>
          <w:sz w:val="24"/>
          <w:szCs w:val="24"/>
        </w:rPr>
        <w:t>20、补充条款：</w:t>
      </w:r>
    </w:p>
    <w:p w14:paraId="59C6B9D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（1）结算时，以成交价及本合同中明确的调整因素、办法为依据进行调整。</w:t>
      </w:r>
    </w:p>
    <w:p w14:paraId="25429D5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（2）为了确保工程顺利完成，施工期间若承包人有违背磋商文件（含合同条件）有关规定之行为，承包人无条件接受招标人的一切处罚并赔偿所造成的一切损失，在发包人规定的时间内无条件撤出施工现场。</w:t>
      </w:r>
    </w:p>
    <w:p w14:paraId="69315CB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（3）施工期间承包人必须按文明施工规定的具体内容进行实施，若未全部实施，结算时将扣除相应费用。</w:t>
      </w:r>
    </w:p>
    <w:p w14:paraId="546E49F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p>
    <w:p w14:paraId="2D50B69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（5）合同签订后，若承包人不按合同双方约定进场施工，发包人有权没收承包人的合同</w:t>
      </w:r>
      <w:r>
        <w:rPr>
          <w:rFonts w:hint="eastAsia" w:ascii="宋体" w:hAnsi="宋体" w:eastAsia="宋体" w:cs="宋体"/>
          <w:color w:val="auto"/>
          <w:sz w:val="24"/>
          <w:lang w:val="en-US" w:eastAsia="zh-CN"/>
        </w:rPr>
        <w:t>履约保证金</w:t>
      </w:r>
      <w:r>
        <w:rPr>
          <w:rFonts w:hint="eastAsia" w:ascii="宋体" w:hAnsi="宋体" w:eastAsia="宋体" w:cs="宋体"/>
          <w:color w:val="auto"/>
          <w:sz w:val="24"/>
        </w:rPr>
        <w:t>并终止合同；若因承包人原因未按时完成工程进度（特别申明：承包人未按施工进度计划要求完成施工内容）视同承包人违约，发包方有权没收承包人的合同</w:t>
      </w:r>
      <w:r>
        <w:rPr>
          <w:rFonts w:hint="eastAsia" w:ascii="宋体" w:hAnsi="宋体" w:cs="宋体"/>
          <w:color w:val="auto"/>
          <w:sz w:val="24"/>
          <w:lang w:val="en-US" w:eastAsia="zh-CN"/>
        </w:rPr>
        <w:t>履约保证金</w:t>
      </w:r>
      <w:r>
        <w:rPr>
          <w:rFonts w:hint="eastAsia" w:ascii="宋体" w:hAnsi="宋体" w:eastAsia="宋体" w:cs="宋体"/>
          <w:color w:val="auto"/>
          <w:sz w:val="24"/>
        </w:rPr>
        <w:t>并终止合同，同时进行强制性清场，承包人须无条件撤离施工现场。</w:t>
      </w:r>
    </w:p>
    <w:p w14:paraId="4CB098C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（6）无论发包人是否给予了批准或者同意，承包人应对现场作业、施工方法及施工过程的完整性、稳定性和安全性承担全部责任，负责完成对工程的稳定、完整、安全、可靠及有效运行所必需的全部工作。</w:t>
      </w:r>
    </w:p>
    <w:p w14:paraId="4643CF8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（7）施工过程中，如发生扰民及正常施工过程民扰的现象，所产生的费用均由承包单位承担。</w:t>
      </w:r>
    </w:p>
    <w:p w14:paraId="2C86D9A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（8）因承包人自身原因造成的人员伤害及伤亡，由承包人承担相应责任及经济赔偿。</w:t>
      </w:r>
    </w:p>
    <w:p w14:paraId="71165031">
      <w:pPr>
        <w:pStyle w:val="38"/>
        <w:spacing w:line="360" w:lineRule="auto"/>
        <w:ind w:firstLine="480"/>
        <w:rPr>
          <w:rFonts w:hint="eastAsia" w:ascii="宋体" w:hAnsi="宋体" w:eastAsia="宋体" w:cs="宋体"/>
          <w:bCs/>
          <w:color w:val="auto"/>
        </w:rPr>
      </w:pPr>
    </w:p>
    <w:p w14:paraId="4DA7DDDE">
      <w:pPr>
        <w:pStyle w:val="38"/>
        <w:spacing w:line="360" w:lineRule="auto"/>
        <w:ind w:firstLine="480"/>
        <w:rPr>
          <w:rFonts w:hint="eastAsia" w:ascii="宋体" w:hAnsi="宋体" w:eastAsia="宋体" w:cs="宋体"/>
          <w:bCs/>
          <w:color w:val="auto"/>
        </w:rPr>
      </w:pPr>
    </w:p>
    <w:p w14:paraId="6B3C2766">
      <w:pPr>
        <w:pStyle w:val="38"/>
        <w:spacing w:line="360" w:lineRule="auto"/>
        <w:ind w:firstLine="480"/>
        <w:rPr>
          <w:rFonts w:hint="eastAsia" w:ascii="宋体" w:hAnsi="宋体" w:eastAsia="宋体" w:cs="宋体"/>
          <w:bCs/>
          <w:color w:val="auto"/>
        </w:rPr>
      </w:pPr>
    </w:p>
    <w:p w14:paraId="4FF631D8">
      <w:pPr>
        <w:pStyle w:val="38"/>
        <w:spacing w:line="360" w:lineRule="auto"/>
        <w:ind w:firstLine="0"/>
        <w:rPr>
          <w:rFonts w:hint="eastAsia" w:ascii="宋体" w:hAnsi="宋体" w:eastAsia="宋体" w:cs="宋体"/>
          <w:bCs/>
          <w:color w:val="auto"/>
        </w:rPr>
      </w:pPr>
    </w:p>
    <w:p w14:paraId="3816A914">
      <w:pPr>
        <w:pStyle w:val="38"/>
        <w:spacing w:line="360" w:lineRule="auto"/>
        <w:ind w:firstLine="0"/>
        <w:rPr>
          <w:rFonts w:hint="eastAsia" w:ascii="宋体" w:hAnsi="宋体" w:eastAsia="宋体" w:cs="宋体"/>
          <w:b/>
          <w:color w:val="auto"/>
        </w:rPr>
      </w:pPr>
      <w:r>
        <w:rPr>
          <w:rFonts w:hint="eastAsia" w:ascii="宋体" w:hAnsi="宋体" w:eastAsia="宋体" w:cs="宋体"/>
          <w:bCs/>
          <w:color w:val="auto"/>
        </w:rPr>
        <w:br w:type="page" w:clear="all"/>
      </w:r>
      <w:r>
        <w:rPr>
          <w:rFonts w:hint="eastAsia" w:ascii="宋体" w:hAnsi="宋体" w:eastAsia="宋体" w:cs="宋体"/>
          <w:b/>
          <w:color w:val="auto"/>
        </w:rPr>
        <w:t>附件1：</w:t>
      </w:r>
    </w:p>
    <w:p w14:paraId="315000B0">
      <w:pPr>
        <w:pStyle w:val="38"/>
        <w:spacing w:line="360" w:lineRule="auto"/>
        <w:ind w:firstLine="643"/>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工程质量保修书</w:t>
      </w:r>
    </w:p>
    <w:p w14:paraId="65152612">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发包人（全称）：</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   </w:t>
      </w:r>
    </w:p>
    <w:p w14:paraId="73AF7B97">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承包人（全称）：</w:t>
      </w:r>
      <w:r>
        <w:rPr>
          <w:rFonts w:hint="eastAsia" w:ascii="宋体" w:hAnsi="宋体" w:eastAsia="宋体" w:cs="宋体"/>
          <w:bCs/>
          <w:color w:val="auto"/>
          <w:u w:val="single"/>
        </w:rPr>
        <w:t xml:space="preserve">                </w:t>
      </w:r>
    </w:p>
    <w:p w14:paraId="4F2C9F74">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为保证</w:t>
      </w:r>
      <w:r>
        <w:rPr>
          <w:rFonts w:hint="eastAsia" w:ascii="宋体" w:hAnsi="宋体" w:eastAsia="宋体" w:cs="宋体"/>
          <w:bCs/>
          <w:color w:val="auto"/>
          <w:u w:val="single"/>
        </w:rPr>
        <w:t xml:space="preserve">                </w:t>
      </w:r>
      <w:r>
        <w:rPr>
          <w:rFonts w:hint="eastAsia" w:ascii="宋体" w:hAnsi="宋体" w:eastAsia="宋体" w:cs="宋体"/>
          <w:bCs/>
          <w:color w:val="auto"/>
        </w:rPr>
        <w:t>（工程名称）在合理使用期限内正常使用，发包人承包人协商一致签订工程质量保修书。承包人在质量保修期内按照有关管理规定及双方约定承担工程质量保修责任。</w:t>
      </w:r>
    </w:p>
    <w:p w14:paraId="72E67E06">
      <w:pPr>
        <w:pStyle w:val="38"/>
        <w:spacing w:line="360" w:lineRule="auto"/>
        <w:ind w:firstLine="482"/>
        <w:rPr>
          <w:rFonts w:hint="eastAsia" w:ascii="宋体" w:hAnsi="宋体" w:eastAsia="宋体" w:cs="宋体"/>
          <w:b/>
          <w:bCs/>
          <w:color w:val="auto"/>
        </w:rPr>
      </w:pPr>
      <w:r>
        <w:rPr>
          <w:rFonts w:hint="eastAsia" w:ascii="宋体" w:hAnsi="宋体" w:eastAsia="宋体" w:cs="宋体"/>
          <w:b/>
          <w:bCs/>
          <w:color w:val="auto"/>
        </w:rPr>
        <w:t>一、工程质量保修范围和内容</w:t>
      </w:r>
    </w:p>
    <w:p w14:paraId="47CF6B2A">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承包人在质量保修期内，按照有关法律规定和合同约定，承担工程质量保修责任。</w:t>
      </w:r>
    </w:p>
    <w:p w14:paraId="1B4795AD">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质量保修范围：承包人施工的全部内容。</w:t>
      </w:r>
    </w:p>
    <w:p w14:paraId="78A8DA29">
      <w:pPr>
        <w:pStyle w:val="38"/>
        <w:spacing w:line="360" w:lineRule="auto"/>
        <w:ind w:firstLine="482"/>
        <w:rPr>
          <w:rFonts w:hint="eastAsia" w:ascii="宋体" w:hAnsi="宋体" w:eastAsia="宋体" w:cs="宋体"/>
          <w:b/>
          <w:bCs/>
          <w:color w:val="auto"/>
        </w:rPr>
      </w:pPr>
      <w:r>
        <w:rPr>
          <w:rFonts w:hint="eastAsia" w:ascii="宋体" w:hAnsi="宋体" w:eastAsia="宋体" w:cs="宋体"/>
          <w:b/>
          <w:bCs/>
          <w:color w:val="auto"/>
        </w:rPr>
        <w:t>二、质量保修期</w:t>
      </w:r>
    </w:p>
    <w:p w14:paraId="6CF153A0">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质量保修期从工程实际竣工之日算起。分单项竣工验收的工程，按单项工程分别计算质量保修期。</w:t>
      </w:r>
    </w:p>
    <w:p w14:paraId="76A8BF17">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双方根据国家有关规定，结合具体工程约定质量保修期如下：</w:t>
      </w:r>
    </w:p>
    <w:p w14:paraId="0467195F">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1、</w:t>
      </w:r>
      <w:r>
        <w:rPr>
          <w:rFonts w:hint="eastAsia" w:ascii="宋体" w:eastAsia="宋体" w:cs="宋体"/>
          <w:bCs/>
          <w:color w:val="auto"/>
          <w:lang w:val="en-US" w:eastAsia="zh-CN"/>
        </w:rPr>
        <w:t>装修工</w:t>
      </w:r>
      <w:r>
        <w:rPr>
          <w:rFonts w:hint="eastAsia" w:ascii="宋体" w:hAnsi="宋体" w:eastAsia="宋体" w:cs="宋体"/>
          <w:bCs/>
          <w:color w:val="auto"/>
        </w:rPr>
        <w:t>程为</w:t>
      </w:r>
      <w:r>
        <w:rPr>
          <w:rFonts w:hint="eastAsia" w:ascii="宋体" w:hAnsi="宋体" w:eastAsia="宋体" w:cs="宋体"/>
          <w:bCs/>
          <w:color w:val="auto"/>
          <w:u w:val="single"/>
        </w:rPr>
        <w:t xml:space="preserve">   2  </w:t>
      </w:r>
      <w:r>
        <w:rPr>
          <w:rFonts w:hint="eastAsia" w:ascii="宋体" w:hAnsi="宋体" w:eastAsia="宋体" w:cs="宋体"/>
          <w:bCs/>
          <w:color w:val="auto"/>
        </w:rPr>
        <w:t>年，屋面防水工程为</w:t>
      </w:r>
      <w:r>
        <w:rPr>
          <w:rFonts w:hint="eastAsia" w:ascii="宋体" w:hAnsi="宋体" w:eastAsia="宋体" w:cs="宋体"/>
          <w:bCs/>
          <w:color w:val="auto"/>
          <w:u w:val="single"/>
        </w:rPr>
        <w:t xml:space="preserve">   5  </w:t>
      </w:r>
      <w:r>
        <w:rPr>
          <w:rFonts w:hint="eastAsia" w:ascii="宋体" w:hAnsi="宋体" w:eastAsia="宋体" w:cs="宋体"/>
          <w:bCs/>
          <w:color w:val="auto"/>
        </w:rPr>
        <w:t>年；</w:t>
      </w:r>
    </w:p>
    <w:p w14:paraId="5E2B0731">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2、电气管线、上下水管线安装工程为</w:t>
      </w:r>
      <w:r>
        <w:rPr>
          <w:rFonts w:hint="eastAsia" w:ascii="宋体" w:hAnsi="宋体" w:eastAsia="宋体" w:cs="宋体"/>
          <w:bCs/>
          <w:color w:val="auto"/>
          <w:u w:val="single"/>
        </w:rPr>
        <w:t xml:space="preserve">   2  </w:t>
      </w:r>
      <w:r>
        <w:rPr>
          <w:rFonts w:hint="eastAsia" w:ascii="宋体" w:hAnsi="宋体" w:eastAsia="宋体" w:cs="宋体"/>
          <w:bCs/>
          <w:color w:val="auto"/>
        </w:rPr>
        <w:t>年；</w:t>
      </w:r>
    </w:p>
    <w:p w14:paraId="2C81C9B2">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3、供热及供冷为</w:t>
      </w:r>
      <w:r>
        <w:rPr>
          <w:rFonts w:hint="eastAsia" w:ascii="宋体" w:hAnsi="宋体" w:eastAsia="宋体" w:cs="宋体"/>
          <w:bCs/>
          <w:color w:val="auto"/>
          <w:u w:val="single"/>
        </w:rPr>
        <w:t xml:space="preserve">   2  </w:t>
      </w:r>
      <w:r>
        <w:rPr>
          <w:rFonts w:hint="eastAsia" w:ascii="宋体" w:hAnsi="宋体" w:eastAsia="宋体" w:cs="宋体"/>
          <w:bCs/>
          <w:color w:val="auto"/>
        </w:rPr>
        <w:t>个采暖期及供冷期；</w:t>
      </w:r>
    </w:p>
    <w:p w14:paraId="6B1E8913">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4、室外的上下水和小区道路等市政公用工程为</w:t>
      </w:r>
      <w:r>
        <w:rPr>
          <w:rFonts w:hint="eastAsia" w:ascii="宋体" w:hAnsi="宋体" w:eastAsia="宋体" w:cs="宋体"/>
          <w:bCs/>
          <w:color w:val="auto"/>
          <w:u w:val="single"/>
        </w:rPr>
        <w:t xml:space="preserve">   2  </w:t>
      </w:r>
      <w:r>
        <w:rPr>
          <w:rFonts w:hint="eastAsia" w:ascii="宋体" w:hAnsi="宋体" w:eastAsia="宋体" w:cs="宋体"/>
          <w:bCs/>
          <w:color w:val="auto"/>
        </w:rPr>
        <w:t>年；</w:t>
      </w:r>
    </w:p>
    <w:p w14:paraId="15454319">
      <w:pPr>
        <w:pStyle w:val="38"/>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5、其他约定：</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w:t>
      </w:r>
    </w:p>
    <w:p w14:paraId="1805EE84">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bCs/>
          <w:color w:val="auto"/>
        </w:rPr>
      </w:pPr>
      <w:r>
        <w:rPr>
          <w:rFonts w:hint="eastAsia" w:ascii="宋体" w:hAnsi="宋体" w:eastAsia="宋体" w:cs="宋体"/>
          <w:color w:val="auto"/>
          <w:sz w:val="24"/>
          <w:szCs w:val="24"/>
        </w:rPr>
        <w:t>质量保修期自工程竣工验收合格之日起计算。</w:t>
      </w:r>
      <w:r>
        <w:rPr>
          <w:rFonts w:hint="eastAsia" w:ascii="宋体" w:hAnsi="宋体" w:eastAsia="宋体" w:cs="宋体"/>
          <w:bCs/>
          <w:color w:val="auto"/>
        </w:rPr>
        <w:t xml:space="preserve">                             </w:t>
      </w:r>
    </w:p>
    <w:p w14:paraId="128D74FD">
      <w:pPr>
        <w:pStyle w:val="38"/>
        <w:spacing w:line="360" w:lineRule="auto"/>
        <w:ind w:firstLine="482"/>
        <w:rPr>
          <w:rFonts w:hint="eastAsia" w:ascii="宋体" w:hAnsi="宋体" w:eastAsia="宋体" w:cs="宋体"/>
          <w:b/>
          <w:bCs/>
          <w:color w:val="auto"/>
          <w:lang w:val="en-US" w:eastAsia="zh-CN"/>
        </w:rPr>
      </w:pPr>
      <w:r>
        <w:rPr>
          <w:rFonts w:hint="eastAsia" w:ascii="宋体" w:hAnsi="宋体" w:eastAsia="宋体" w:cs="宋体"/>
          <w:b/>
          <w:bCs/>
          <w:color w:val="auto"/>
        </w:rPr>
        <w:t>三、缺陷责任期</w:t>
      </w:r>
      <w:r>
        <w:rPr>
          <w:rFonts w:hint="eastAsia" w:ascii="宋体" w:eastAsia="宋体" w:cs="宋体"/>
          <w:b/>
          <w:bCs/>
          <w:color w:val="auto"/>
          <w:lang w:val="en-US" w:eastAsia="zh-CN"/>
        </w:rPr>
        <w:t xml:space="preserve"> </w:t>
      </w:r>
    </w:p>
    <w:p w14:paraId="6B40D7E7">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工程缺陷责任期为</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24</w:t>
      </w:r>
      <w:r>
        <w:rPr>
          <w:rFonts w:hint="eastAsia" w:ascii="宋体" w:eastAsia="宋体" w:cs="宋体"/>
          <w:bCs/>
          <w:color w:val="auto"/>
          <w:u w:val="single"/>
          <w:lang w:val="en-US" w:eastAsia="zh-CN"/>
        </w:rPr>
        <w:t xml:space="preserve"> </w:t>
      </w:r>
      <w:r>
        <w:rPr>
          <w:rFonts w:hint="eastAsia" w:ascii="宋体" w:hAnsi="宋体" w:eastAsia="宋体" w:cs="宋体"/>
          <w:bCs/>
          <w:color w:val="auto"/>
        </w:rPr>
        <w:t>个月，缺陷责任期自工程实际竣工之日起计算。单位工程先于全部工程进行验收，单位工程缺陷责任期自单位工程验收合格之日起算。</w:t>
      </w:r>
    </w:p>
    <w:p w14:paraId="2CC02BE6">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缺陷责任期终止后，发包人应退还剩余的质量保证金（无息）。</w:t>
      </w:r>
    </w:p>
    <w:p w14:paraId="640FEC34">
      <w:pPr>
        <w:pStyle w:val="38"/>
        <w:spacing w:line="360" w:lineRule="auto"/>
        <w:ind w:firstLine="482"/>
        <w:rPr>
          <w:rFonts w:hint="eastAsia" w:ascii="宋体" w:hAnsi="宋体" w:eastAsia="宋体" w:cs="宋体"/>
          <w:b/>
          <w:bCs/>
          <w:color w:val="auto"/>
        </w:rPr>
      </w:pPr>
      <w:r>
        <w:rPr>
          <w:rFonts w:hint="eastAsia" w:ascii="宋体" w:hAnsi="宋体" w:eastAsia="宋体" w:cs="宋体"/>
          <w:b/>
          <w:bCs/>
          <w:color w:val="auto"/>
        </w:rPr>
        <w:t>四、质量保修责任</w:t>
      </w:r>
    </w:p>
    <w:p w14:paraId="183A8517">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1、属于保修范围和内容的项目，承包人应在接到修理通知之日后7天内派人修理。承包人不在约定期限内，派人修理，发包人可委托其他人员修理，保修费用从质量保证金内扣除。</w:t>
      </w:r>
    </w:p>
    <w:p w14:paraId="720C565C">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2、发生须紧急抢修事故，承包人接到事故通知后，应立即到达事故现场抢修。非承包人施工质量引起的事故，抢修费用由发包人承担。</w:t>
      </w:r>
    </w:p>
    <w:p w14:paraId="36043301">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3、在国家规定的工程合理使用期限内，承包人确保地基基础工程和主体结构的质量。因承包人原因致使工程在合理使用期限内造成人身和财产损害的，承包人应承担损害赔偿责任。</w:t>
      </w:r>
    </w:p>
    <w:p w14:paraId="201E0D85">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4、质量保修完成后，由发包人组织验收。</w:t>
      </w:r>
    </w:p>
    <w:p w14:paraId="78368EF2">
      <w:pPr>
        <w:pStyle w:val="38"/>
        <w:spacing w:line="360" w:lineRule="auto"/>
        <w:ind w:firstLine="482"/>
        <w:rPr>
          <w:rFonts w:hint="eastAsia" w:ascii="宋体" w:hAnsi="宋体" w:eastAsia="宋体" w:cs="宋体"/>
          <w:b/>
          <w:color w:val="auto"/>
        </w:rPr>
      </w:pPr>
      <w:r>
        <w:rPr>
          <w:rFonts w:hint="eastAsia" w:ascii="宋体" w:hAnsi="宋体" w:eastAsia="宋体" w:cs="宋体"/>
          <w:b/>
          <w:color w:val="auto"/>
        </w:rPr>
        <w:t>五、保修费用</w:t>
      </w:r>
    </w:p>
    <w:p w14:paraId="58B9F9D6">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保修费用由造成质量缺陷的责任方承担。</w:t>
      </w:r>
    </w:p>
    <w:p w14:paraId="5B891885">
      <w:pPr>
        <w:pStyle w:val="38"/>
        <w:spacing w:line="360" w:lineRule="auto"/>
        <w:ind w:firstLine="482"/>
        <w:rPr>
          <w:rFonts w:hint="eastAsia" w:ascii="宋体" w:hAnsi="宋体" w:eastAsia="宋体" w:cs="宋体"/>
          <w:b/>
          <w:bCs/>
          <w:color w:val="auto"/>
        </w:rPr>
      </w:pPr>
      <w:r>
        <w:rPr>
          <w:rFonts w:hint="eastAsia" w:ascii="宋体" w:hAnsi="宋体" w:eastAsia="宋体" w:cs="宋体"/>
          <w:b/>
          <w:bCs/>
          <w:color w:val="auto"/>
        </w:rPr>
        <w:t>六、其他</w:t>
      </w:r>
    </w:p>
    <w:p w14:paraId="708B2AA6">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双方约定的其他工程质量保修事项：</w:t>
      </w:r>
      <w:r>
        <w:rPr>
          <w:rFonts w:hint="eastAsia" w:ascii="宋体" w:hAnsi="宋体" w:eastAsia="宋体" w:cs="宋体"/>
          <w:bCs/>
          <w:color w:val="auto"/>
          <w:u w:val="single"/>
        </w:rPr>
        <w:t xml:space="preserve"> </w:t>
      </w:r>
      <w:r>
        <w:rPr>
          <w:rFonts w:hint="eastAsia" w:ascii="宋体" w:hAnsi="宋体" w:eastAsia="宋体" w:cs="宋体"/>
          <w:color w:val="auto"/>
          <w:u w:val="single"/>
        </w:rPr>
        <w:t>按国家规定执行</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  </w:t>
      </w:r>
    </w:p>
    <w:p w14:paraId="33C0CB4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lang w:bidi="ar"/>
        </w:rPr>
        <w:t>工程质量保修书由发包人、承包人在工程竣工验收前共同签署，作为施工合同附件，其有效期限至保修期满。</w:t>
      </w:r>
    </w:p>
    <w:p w14:paraId="5016BD47">
      <w:pPr>
        <w:pStyle w:val="38"/>
        <w:spacing w:line="360" w:lineRule="auto"/>
        <w:ind w:firstLine="480"/>
        <w:rPr>
          <w:rFonts w:hint="eastAsia" w:ascii="宋体" w:hAnsi="宋体" w:eastAsia="宋体" w:cs="宋体"/>
          <w:bCs/>
          <w:color w:val="auto"/>
        </w:rPr>
      </w:pPr>
    </w:p>
    <w:p w14:paraId="627873DE">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发  包  人（公章）：                        承  包  人（公章）：</w:t>
      </w:r>
    </w:p>
    <w:p w14:paraId="7344AC9C">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rPr>
        <w:t>法定代表人（签字）：                        法定代表人（签字）：</w:t>
      </w:r>
    </w:p>
    <w:p w14:paraId="793B1202">
      <w:pPr>
        <w:pStyle w:val="38"/>
        <w:spacing w:line="360" w:lineRule="auto"/>
        <w:ind w:firstLine="480"/>
        <w:rPr>
          <w:rFonts w:hint="eastAsia" w:ascii="宋体" w:hAnsi="宋体" w:eastAsia="宋体" w:cs="宋体"/>
          <w:bCs/>
          <w:color w:val="auto"/>
        </w:rPr>
      </w:pPr>
      <w:r>
        <w:rPr>
          <w:rFonts w:hint="eastAsia" w:ascii="宋体" w:hAnsi="宋体" w:eastAsia="宋体" w:cs="宋体"/>
          <w:bCs/>
          <w:color w:val="auto"/>
          <w:u w:val="single"/>
        </w:rPr>
        <w:t xml:space="preserve">     </w:t>
      </w:r>
      <w:r>
        <w:rPr>
          <w:rFonts w:hint="eastAsia" w:ascii="宋体" w:hAnsi="宋体" w:eastAsia="宋体" w:cs="宋体"/>
          <w:bCs/>
          <w:color w:val="auto"/>
        </w:rPr>
        <w:t>年</w:t>
      </w:r>
      <w:r>
        <w:rPr>
          <w:rFonts w:hint="eastAsia" w:ascii="宋体" w:hAnsi="宋体" w:eastAsia="宋体" w:cs="宋体"/>
          <w:bCs/>
          <w:color w:val="auto"/>
          <w:u w:val="single"/>
        </w:rPr>
        <w:t xml:space="preserve">    </w:t>
      </w:r>
      <w:r>
        <w:rPr>
          <w:rFonts w:hint="eastAsia" w:ascii="宋体" w:hAnsi="宋体" w:eastAsia="宋体" w:cs="宋体"/>
          <w:bCs/>
          <w:color w:val="auto"/>
        </w:rPr>
        <w:t>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                        </w:t>
      </w:r>
      <w:r>
        <w:rPr>
          <w:rFonts w:hint="eastAsia" w:ascii="宋体" w:hAnsi="宋体" w:eastAsia="宋体" w:cs="宋体"/>
          <w:bCs/>
          <w:color w:val="auto"/>
          <w:u w:val="single"/>
        </w:rPr>
        <w:t xml:space="preserve">     </w:t>
      </w:r>
      <w:r>
        <w:rPr>
          <w:rFonts w:hint="eastAsia" w:ascii="宋体" w:hAnsi="宋体" w:eastAsia="宋体" w:cs="宋体"/>
          <w:bCs/>
          <w:color w:val="auto"/>
        </w:rPr>
        <w:t>年</w:t>
      </w:r>
      <w:r>
        <w:rPr>
          <w:rFonts w:hint="eastAsia" w:ascii="宋体" w:hAnsi="宋体" w:eastAsia="宋体" w:cs="宋体"/>
          <w:bCs/>
          <w:color w:val="auto"/>
          <w:u w:val="single"/>
        </w:rPr>
        <w:t xml:space="preserve">    </w:t>
      </w:r>
      <w:r>
        <w:rPr>
          <w:rFonts w:hint="eastAsia" w:ascii="宋体" w:hAnsi="宋体" w:eastAsia="宋体" w:cs="宋体"/>
          <w:bCs/>
          <w:color w:val="auto"/>
        </w:rPr>
        <w:t>月</w:t>
      </w:r>
      <w:r>
        <w:rPr>
          <w:rFonts w:hint="eastAsia" w:ascii="宋体" w:hAnsi="宋体" w:eastAsia="宋体" w:cs="宋体"/>
          <w:bCs/>
          <w:color w:val="auto"/>
          <w:u w:val="single"/>
        </w:rPr>
        <w:t xml:space="preserve">    </w:t>
      </w:r>
      <w:r>
        <w:rPr>
          <w:rFonts w:hint="eastAsia" w:ascii="宋体" w:hAnsi="宋体" w:eastAsia="宋体" w:cs="宋体"/>
          <w:bCs/>
          <w:color w:val="auto"/>
        </w:rPr>
        <w:t>日</w:t>
      </w:r>
    </w:p>
    <w:p w14:paraId="42227210">
      <w:pPr>
        <w:pStyle w:val="3"/>
        <w:spacing w:line="360" w:lineRule="auto"/>
        <w:outlineLvl w:val="9"/>
        <w:rPr>
          <w:rFonts w:hint="eastAsia" w:ascii="宋体" w:hAnsi="宋体" w:eastAsia="宋体" w:cs="宋体"/>
          <w:color w:val="auto"/>
          <w:sz w:val="44"/>
          <w:szCs w:val="44"/>
        </w:rPr>
      </w:pPr>
    </w:p>
    <w:p w14:paraId="35555DEC">
      <w:pPr>
        <w:spacing w:line="360" w:lineRule="auto"/>
        <w:ind w:firstLine="480"/>
        <w:rPr>
          <w:rFonts w:hint="eastAsia" w:ascii="宋体" w:hAnsi="宋体" w:eastAsia="宋体" w:cs="宋体"/>
          <w:color w:val="auto"/>
          <w:sz w:val="24"/>
        </w:rPr>
      </w:pPr>
    </w:p>
    <w:p w14:paraId="482FECF0">
      <w:pPr>
        <w:spacing w:line="360" w:lineRule="auto"/>
        <w:ind w:firstLine="480"/>
        <w:rPr>
          <w:rFonts w:hint="eastAsia" w:ascii="宋体" w:hAnsi="宋体" w:eastAsia="宋体" w:cs="宋体"/>
          <w:color w:val="auto"/>
          <w:sz w:val="24"/>
        </w:rPr>
      </w:pPr>
    </w:p>
    <w:p w14:paraId="450AA141">
      <w:pPr>
        <w:pStyle w:val="19"/>
        <w:spacing w:line="360" w:lineRule="auto"/>
        <w:rPr>
          <w:rFonts w:hint="eastAsia" w:ascii="宋体" w:hAnsi="宋体" w:eastAsia="宋体" w:cs="宋体"/>
          <w:color w:val="auto"/>
          <w:sz w:val="24"/>
          <w:szCs w:val="24"/>
        </w:rPr>
      </w:pPr>
    </w:p>
    <w:p w14:paraId="471FBDB8">
      <w:pPr>
        <w:pStyle w:val="31"/>
        <w:spacing w:line="360" w:lineRule="auto"/>
        <w:rPr>
          <w:rFonts w:hint="eastAsia" w:ascii="宋体" w:hAnsi="宋体" w:eastAsia="宋体" w:cs="宋体"/>
          <w:color w:val="auto"/>
          <w:sz w:val="24"/>
        </w:rPr>
      </w:pPr>
    </w:p>
    <w:p w14:paraId="63858FFA">
      <w:pPr>
        <w:pStyle w:val="31"/>
        <w:spacing w:line="360" w:lineRule="auto"/>
        <w:rPr>
          <w:rFonts w:hint="eastAsia" w:ascii="宋体" w:hAnsi="宋体" w:eastAsia="宋体" w:cs="宋体"/>
          <w:color w:val="auto"/>
          <w:sz w:val="24"/>
        </w:rPr>
      </w:pPr>
    </w:p>
    <w:p w14:paraId="78A9FC5B">
      <w:pPr>
        <w:pStyle w:val="31"/>
        <w:spacing w:line="360" w:lineRule="auto"/>
        <w:rPr>
          <w:rFonts w:hint="eastAsia" w:ascii="宋体" w:hAnsi="宋体" w:eastAsia="宋体" w:cs="宋体"/>
          <w:color w:val="auto"/>
          <w:sz w:val="24"/>
        </w:rPr>
      </w:pPr>
    </w:p>
    <w:p w14:paraId="71BEE07C">
      <w:pPr>
        <w:pStyle w:val="31"/>
        <w:spacing w:line="360" w:lineRule="auto"/>
        <w:rPr>
          <w:rFonts w:hint="eastAsia" w:ascii="宋体" w:hAnsi="宋体" w:eastAsia="宋体" w:cs="宋体"/>
          <w:color w:val="auto"/>
          <w:sz w:val="24"/>
        </w:rPr>
      </w:pPr>
    </w:p>
    <w:p w14:paraId="54753FA3">
      <w:pPr>
        <w:spacing w:line="360" w:lineRule="auto"/>
        <w:jc w:val="left"/>
        <w:rPr>
          <w:rFonts w:hint="eastAsia" w:ascii="宋体" w:hAnsi="宋体" w:eastAsia="宋体" w:cs="宋体"/>
          <w:b/>
          <w:bCs/>
          <w:color w:val="auto"/>
          <w:sz w:val="24"/>
        </w:rPr>
      </w:pPr>
      <w:r>
        <w:rPr>
          <w:rFonts w:hint="eastAsia" w:ascii="宋体" w:hAnsi="宋体" w:eastAsia="宋体" w:cs="宋体"/>
          <w:color w:val="auto"/>
          <w:sz w:val="24"/>
        </w:rPr>
        <w:br w:type="page" w:clear="all"/>
      </w:r>
      <w:r>
        <w:rPr>
          <w:rFonts w:hint="eastAsia" w:ascii="宋体" w:hAnsi="宋体" w:eastAsia="宋体" w:cs="宋体"/>
          <w:b/>
          <w:bCs/>
          <w:color w:val="auto"/>
          <w:sz w:val="24"/>
        </w:rPr>
        <w:t xml:space="preserve">附件2：      </w:t>
      </w:r>
    </w:p>
    <w:p w14:paraId="69A33D27">
      <w:pPr>
        <w:spacing w:line="360" w:lineRule="auto"/>
        <w:ind w:firstLine="883"/>
        <w:jc w:val="center"/>
        <w:rPr>
          <w:rFonts w:hint="eastAsia" w:ascii="宋体" w:hAnsi="宋体" w:eastAsia="宋体" w:cs="宋体"/>
          <w:b/>
          <w:bCs/>
          <w:color w:val="auto"/>
          <w:sz w:val="24"/>
        </w:rPr>
      </w:pPr>
    </w:p>
    <w:p w14:paraId="5CCFC338">
      <w:pPr>
        <w:pStyle w:val="38"/>
        <w:spacing w:line="360" w:lineRule="auto"/>
        <w:ind w:firstLine="643"/>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安全生产责任承诺书</w:t>
      </w:r>
    </w:p>
    <w:p w14:paraId="47AF114A">
      <w:pPr>
        <w:spacing w:line="360" w:lineRule="auto"/>
        <w:ind w:firstLine="560"/>
        <w:rPr>
          <w:rFonts w:hint="eastAsia" w:ascii="宋体" w:hAnsi="宋体" w:eastAsia="宋体" w:cs="宋体"/>
          <w:color w:val="auto"/>
          <w:sz w:val="24"/>
        </w:rPr>
      </w:pPr>
    </w:p>
    <w:p w14:paraId="3026C1C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u w:val="single"/>
        </w:rPr>
        <w:t>（建设单位）</w:t>
      </w:r>
      <w:r>
        <w:rPr>
          <w:rFonts w:hint="eastAsia" w:ascii="宋体" w:hAnsi="宋体" w:eastAsia="宋体" w:cs="宋体"/>
          <w:color w:val="auto"/>
          <w:sz w:val="24"/>
        </w:rPr>
        <w:t>：</w:t>
      </w:r>
    </w:p>
    <w:p w14:paraId="23A42DF9">
      <w:pPr>
        <w:spacing w:line="360" w:lineRule="auto"/>
        <w:ind w:firstLine="480"/>
        <w:rPr>
          <w:rFonts w:hint="eastAsia" w:ascii="宋体" w:hAnsi="宋体" w:eastAsia="宋体" w:cs="宋体"/>
          <w:color w:val="auto"/>
          <w:sz w:val="24"/>
        </w:rPr>
      </w:pPr>
    </w:p>
    <w:p w14:paraId="04BD939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我单位在</w:t>
      </w:r>
      <w:r>
        <w:rPr>
          <w:rFonts w:hint="eastAsia" w:ascii="宋体" w:hAnsi="宋体" w:eastAsia="宋体" w:cs="宋体"/>
          <w:bCs/>
          <w:color w:val="auto"/>
          <w:sz w:val="24"/>
          <w:u w:val="single"/>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工程投标中有幸成交，承诺现场安全文明施工措施费必须全部用于本工程中，保证不发生重大人员伤亡事故，在此工程施工过程中所发生的一切工伤事故或安全事故，均由我单位承担一切责任。</w:t>
      </w:r>
    </w:p>
    <w:p w14:paraId="5D17A463">
      <w:pPr>
        <w:spacing w:line="360" w:lineRule="auto"/>
        <w:ind w:firstLine="480"/>
        <w:rPr>
          <w:rFonts w:hint="eastAsia" w:ascii="宋体" w:hAnsi="宋体" w:eastAsia="宋体" w:cs="宋体"/>
          <w:color w:val="auto"/>
          <w:sz w:val="24"/>
        </w:rPr>
      </w:pPr>
    </w:p>
    <w:p w14:paraId="19DC193B">
      <w:pPr>
        <w:spacing w:line="360" w:lineRule="auto"/>
        <w:ind w:firstLine="480"/>
        <w:rPr>
          <w:rFonts w:hint="eastAsia" w:ascii="宋体" w:hAnsi="宋体" w:eastAsia="宋体" w:cs="宋体"/>
          <w:color w:val="auto"/>
          <w:sz w:val="24"/>
        </w:rPr>
      </w:pPr>
    </w:p>
    <w:p w14:paraId="4461B1E7">
      <w:pPr>
        <w:spacing w:line="360" w:lineRule="auto"/>
        <w:ind w:firstLine="500"/>
        <w:rPr>
          <w:rFonts w:hint="eastAsia" w:ascii="宋体" w:hAnsi="宋体" w:eastAsia="宋体" w:cs="宋体"/>
          <w:bCs/>
          <w:color w:val="auto"/>
          <w:spacing w:val="5"/>
          <w:sz w:val="24"/>
          <w:u w:val="single"/>
        </w:rPr>
      </w:pPr>
      <w:r>
        <w:rPr>
          <w:rFonts w:hint="eastAsia" w:ascii="宋体" w:hAnsi="宋体" w:eastAsia="宋体" w:cs="宋体"/>
          <w:bCs/>
          <w:color w:val="auto"/>
          <w:spacing w:val="5"/>
          <w:sz w:val="24"/>
        </w:rPr>
        <w:t xml:space="preserve">                      承诺单位（盖章）：</w:t>
      </w:r>
      <w:r>
        <w:rPr>
          <w:rFonts w:hint="eastAsia" w:ascii="宋体" w:hAnsi="宋体" w:eastAsia="宋体" w:cs="宋体"/>
          <w:bCs/>
          <w:color w:val="auto"/>
          <w:spacing w:val="5"/>
          <w:sz w:val="24"/>
          <w:u w:val="single"/>
        </w:rPr>
        <w:t xml:space="preserve">                 </w:t>
      </w:r>
    </w:p>
    <w:p w14:paraId="2BC61273">
      <w:pPr>
        <w:spacing w:line="360" w:lineRule="auto"/>
        <w:ind w:firstLine="500"/>
        <w:rPr>
          <w:rFonts w:hint="eastAsia" w:ascii="宋体" w:hAnsi="宋体" w:eastAsia="宋体" w:cs="宋体"/>
          <w:bCs/>
          <w:color w:val="auto"/>
          <w:spacing w:val="5"/>
          <w:sz w:val="24"/>
          <w:u w:val="single"/>
        </w:rPr>
      </w:pPr>
      <w:r>
        <w:rPr>
          <w:rFonts w:hint="eastAsia" w:ascii="宋体" w:hAnsi="宋体" w:eastAsia="宋体" w:cs="宋体"/>
          <w:bCs/>
          <w:color w:val="auto"/>
          <w:spacing w:val="5"/>
          <w:sz w:val="24"/>
        </w:rPr>
        <w:t xml:space="preserve">                      法定代表人（签字）：</w:t>
      </w:r>
      <w:r>
        <w:rPr>
          <w:rFonts w:hint="eastAsia" w:ascii="宋体" w:hAnsi="宋体" w:eastAsia="宋体" w:cs="宋体"/>
          <w:bCs/>
          <w:color w:val="auto"/>
          <w:spacing w:val="5"/>
          <w:sz w:val="24"/>
          <w:u w:val="single"/>
        </w:rPr>
        <w:t xml:space="preserve">                 </w:t>
      </w:r>
    </w:p>
    <w:p w14:paraId="3E2FE619">
      <w:pPr>
        <w:spacing w:line="360" w:lineRule="auto"/>
        <w:ind w:firstLine="500"/>
        <w:rPr>
          <w:rFonts w:hint="eastAsia" w:ascii="宋体" w:hAnsi="宋体" w:eastAsia="宋体" w:cs="宋体"/>
          <w:bCs/>
          <w:color w:val="auto"/>
          <w:spacing w:val="5"/>
          <w:sz w:val="24"/>
        </w:rPr>
      </w:pPr>
      <w:r>
        <w:rPr>
          <w:rFonts w:hint="eastAsia" w:ascii="宋体" w:hAnsi="宋体" w:eastAsia="宋体" w:cs="宋体"/>
          <w:bCs/>
          <w:color w:val="auto"/>
          <w:spacing w:val="5"/>
          <w:sz w:val="24"/>
        </w:rPr>
        <w:t xml:space="preserve">                      日期：    年  月   日</w:t>
      </w:r>
    </w:p>
    <w:p w14:paraId="1EA7AF87">
      <w:pPr>
        <w:pStyle w:val="18"/>
        <w:spacing w:line="360" w:lineRule="auto"/>
        <w:rPr>
          <w:rFonts w:hint="eastAsia" w:ascii="宋体" w:hAnsi="宋体" w:eastAsia="宋体" w:cs="宋体"/>
          <w:color w:val="auto"/>
        </w:rPr>
      </w:pPr>
    </w:p>
    <w:p w14:paraId="5166404D">
      <w:pPr>
        <w:spacing w:line="360" w:lineRule="auto"/>
        <w:ind w:firstLine="480"/>
        <w:rPr>
          <w:rFonts w:hint="eastAsia" w:ascii="宋体" w:hAnsi="宋体" w:eastAsia="宋体" w:cs="宋体"/>
          <w:color w:val="auto"/>
          <w:sz w:val="24"/>
        </w:rPr>
      </w:pPr>
    </w:p>
    <w:p w14:paraId="6B8E263D">
      <w:pPr>
        <w:spacing w:line="360" w:lineRule="auto"/>
        <w:ind w:firstLine="480"/>
        <w:rPr>
          <w:rFonts w:hint="eastAsia" w:ascii="宋体" w:hAnsi="宋体" w:eastAsia="宋体" w:cs="宋体"/>
          <w:color w:val="auto"/>
          <w:sz w:val="24"/>
        </w:rPr>
      </w:pPr>
    </w:p>
    <w:p w14:paraId="73EFD9E1">
      <w:pPr>
        <w:spacing w:line="360" w:lineRule="auto"/>
        <w:ind w:firstLine="480"/>
        <w:rPr>
          <w:rFonts w:hint="eastAsia" w:ascii="宋体" w:hAnsi="宋体" w:eastAsia="宋体" w:cs="宋体"/>
          <w:color w:val="auto"/>
          <w:sz w:val="24"/>
        </w:rPr>
      </w:pPr>
    </w:p>
    <w:p w14:paraId="47A3C5E4">
      <w:pPr>
        <w:spacing w:line="360" w:lineRule="auto"/>
        <w:ind w:firstLine="480"/>
        <w:rPr>
          <w:rFonts w:hint="eastAsia" w:ascii="宋体" w:hAnsi="宋体" w:eastAsia="宋体" w:cs="宋体"/>
          <w:color w:val="auto"/>
          <w:sz w:val="24"/>
        </w:rPr>
      </w:pPr>
    </w:p>
    <w:p w14:paraId="2A81FD46">
      <w:pPr>
        <w:spacing w:line="360" w:lineRule="auto"/>
        <w:ind w:firstLine="480"/>
        <w:rPr>
          <w:rFonts w:hint="eastAsia" w:ascii="宋体" w:hAnsi="宋体" w:eastAsia="宋体" w:cs="宋体"/>
          <w:color w:val="auto"/>
          <w:sz w:val="24"/>
        </w:rPr>
      </w:pPr>
    </w:p>
    <w:p w14:paraId="411B3AF5">
      <w:pPr>
        <w:spacing w:line="360" w:lineRule="auto"/>
        <w:ind w:firstLine="480"/>
        <w:rPr>
          <w:rFonts w:hint="eastAsia" w:ascii="宋体" w:hAnsi="宋体" w:eastAsia="宋体" w:cs="宋体"/>
          <w:color w:val="auto"/>
          <w:sz w:val="24"/>
        </w:rPr>
      </w:pPr>
    </w:p>
    <w:p w14:paraId="40547E53">
      <w:pPr>
        <w:spacing w:line="360" w:lineRule="auto"/>
        <w:ind w:firstLine="480"/>
        <w:rPr>
          <w:rFonts w:hint="eastAsia" w:ascii="宋体" w:hAnsi="宋体" w:eastAsia="宋体" w:cs="宋体"/>
          <w:color w:val="auto"/>
          <w:sz w:val="24"/>
        </w:rPr>
      </w:pPr>
    </w:p>
    <w:p w14:paraId="0FDEDF66">
      <w:pPr>
        <w:spacing w:line="360" w:lineRule="auto"/>
        <w:ind w:firstLine="480"/>
        <w:rPr>
          <w:rFonts w:hint="eastAsia" w:ascii="宋体" w:hAnsi="宋体" w:eastAsia="宋体" w:cs="宋体"/>
          <w:color w:val="auto"/>
          <w:sz w:val="24"/>
        </w:rPr>
      </w:pPr>
    </w:p>
    <w:p w14:paraId="153D1343">
      <w:pPr>
        <w:spacing w:line="360" w:lineRule="auto"/>
        <w:ind w:firstLine="480"/>
        <w:rPr>
          <w:rFonts w:hint="eastAsia" w:ascii="宋体" w:hAnsi="宋体" w:eastAsia="宋体" w:cs="宋体"/>
          <w:color w:val="auto"/>
          <w:sz w:val="24"/>
        </w:rPr>
      </w:pPr>
    </w:p>
    <w:p w14:paraId="111A0B2C">
      <w:pPr>
        <w:spacing w:line="360" w:lineRule="auto"/>
        <w:ind w:firstLine="480"/>
        <w:rPr>
          <w:rFonts w:hint="eastAsia" w:ascii="宋体" w:hAnsi="宋体" w:eastAsia="宋体" w:cs="宋体"/>
          <w:color w:val="auto"/>
          <w:sz w:val="24"/>
        </w:rPr>
      </w:pPr>
    </w:p>
    <w:p w14:paraId="1D266A39">
      <w:pPr>
        <w:spacing w:line="360" w:lineRule="auto"/>
        <w:ind w:firstLine="480"/>
        <w:rPr>
          <w:rFonts w:hint="eastAsia" w:ascii="宋体" w:hAnsi="宋体" w:eastAsia="宋体" w:cs="宋体"/>
          <w:color w:val="auto"/>
          <w:sz w:val="24"/>
        </w:rPr>
      </w:pPr>
    </w:p>
    <w:p w14:paraId="47EA5EA6">
      <w:pPr>
        <w:spacing w:line="360" w:lineRule="auto"/>
        <w:ind w:firstLine="480"/>
        <w:rPr>
          <w:rFonts w:hint="eastAsia" w:ascii="宋体" w:hAnsi="宋体" w:eastAsia="宋体" w:cs="宋体"/>
          <w:color w:val="auto"/>
          <w:sz w:val="24"/>
        </w:rPr>
      </w:pPr>
    </w:p>
    <w:p w14:paraId="02A30AD3">
      <w:pPr>
        <w:spacing w:line="360" w:lineRule="auto"/>
        <w:ind w:firstLine="480"/>
        <w:rPr>
          <w:rFonts w:hint="eastAsia" w:ascii="宋体" w:hAnsi="宋体" w:eastAsia="宋体" w:cs="宋体"/>
          <w:color w:val="auto"/>
          <w:sz w:val="24"/>
        </w:rPr>
      </w:pPr>
    </w:p>
    <w:p w14:paraId="1299392E">
      <w:pPr>
        <w:spacing w:line="360" w:lineRule="auto"/>
        <w:ind w:firstLine="480"/>
        <w:rPr>
          <w:rFonts w:hint="eastAsia" w:ascii="宋体" w:hAnsi="宋体" w:eastAsia="宋体" w:cs="宋体"/>
          <w:color w:val="auto"/>
          <w:sz w:val="24"/>
        </w:rPr>
      </w:pPr>
    </w:p>
    <w:p w14:paraId="071306B5">
      <w:pPr>
        <w:rPr>
          <w:rFonts w:hint="eastAsia" w:ascii="宋体" w:hAnsi="宋体" w:eastAsia="宋体" w:cs="宋体"/>
          <w:b/>
          <w:bCs/>
          <w:color w:val="auto"/>
          <w:sz w:val="24"/>
        </w:rPr>
      </w:pPr>
      <w:r>
        <w:rPr>
          <w:rFonts w:hint="eastAsia" w:ascii="宋体" w:hAnsi="宋体" w:eastAsia="宋体" w:cs="宋体"/>
          <w:color w:val="auto"/>
          <w:sz w:val="24"/>
        </w:rPr>
        <w:br w:type="page" w:clear="all"/>
      </w:r>
      <w:r>
        <w:rPr>
          <w:rFonts w:hint="eastAsia" w:ascii="宋体" w:hAnsi="宋体" w:eastAsia="宋体" w:cs="宋体"/>
          <w:b/>
          <w:bCs/>
          <w:color w:val="auto"/>
          <w:sz w:val="24"/>
        </w:rPr>
        <w:t>附件3：</w:t>
      </w:r>
    </w:p>
    <w:p w14:paraId="2532E83C">
      <w:pPr>
        <w:pStyle w:val="67"/>
        <w:rPr>
          <w:rFonts w:hint="eastAsia" w:ascii="宋体" w:hAnsi="宋体" w:eastAsia="宋体" w:cs="宋体"/>
          <w:color w:val="auto"/>
        </w:rPr>
      </w:pPr>
    </w:p>
    <w:p w14:paraId="55EC69D0">
      <w:pPr>
        <w:pStyle w:val="38"/>
        <w:spacing w:line="360" w:lineRule="auto"/>
        <w:ind w:firstLine="0"/>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成交人诚信承诺书</w:t>
      </w:r>
    </w:p>
    <w:p w14:paraId="15B51991">
      <w:pPr>
        <w:spacing w:line="360" w:lineRule="auto"/>
        <w:ind w:firstLine="1446"/>
        <w:rPr>
          <w:rFonts w:hint="eastAsia" w:ascii="宋体" w:hAnsi="宋体" w:eastAsia="宋体" w:cs="宋体"/>
          <w:b/>
          <w:color w:val="auto"/>
          <w:sz w:val="24"/>
        </w:rPr>
      </w:pPr>
    </w:p>
    <w:p w14:paraId="2D98368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我单位系</w:t>
      </w:r>
      <w:r>
        <w:rPr>
          <w:rFonts w:hint="eastAsia" w:ascii="宋体" w:hAnsi="宋体" w:eastAsia="宋体" w:cs="宋体"/>
          <w:color w:val="auto"/>
          <w:sz w:val="24"/>
          <w:u w:val="single"/>
        </w:rPr>
        <w:t xml:space="preserve">                 </w:t>
      </w:r>
      <w:r>
        <w:rPr>
          <w:rFonts w:hint="eastAsia" w:ascii="宋体" w:hAnsi="宋体" w:eastAsia="宋体" w:cs="宋体"/>
          <w:color w:val="auto"/>
          <w:sz w:val="24"/>
        </w:rPr>
        <w:t>，作为</w:t>
      </w:r>
      <w:r>
        <w:rPr>
          <w:rFonts w:hint="eastAsia" w:ascii="宋体" w:hAnsi="宋体" w:eastAsia="宋体" w:cs="宋体"/>
          <w:color w:val="auto"/>
          <w:sz w:val="24"/>
          <w:u w:val="single"/>
        </w:rPr>
        <w:t xml:space="preserve">        （</w:t>
      </w:r>
      <w:r>
        <w:rPr>
          <w:rFonts w:hint="eastAsia" w:ascii="宋体" w:hAnsi="宋体" w:eastAsia="宋体" w:cs="宋体"/>
          <w:color w:val="auto"/>
          <w:sz w:val="24"/>
        </w:rPr>
        <w:t>采购人）</w:t>
      </w:r>
      <w:r>
        <w:rPr>
          <w:rFonts w:hint="eastAsia" w:ascii="宋体" w:hAnsi="宋体" w:eastAsia="宋体" w:cs="宋体"/>
          <w:color w:val="auto"/>
          <w:sz w:val="24"/>
          <w:u w:val="single"/>
        </w:rPr>
        <w:t xml:space="preserve">    项目 </w:t>
      </w:r>
      <w:r>
        <w:rPr>
          <w:rFonts w:hint="eastAsia" w:ascii="宋体" w:hAnsi="宋体" w:eastAsia="宋体" w:cs="宋体"/>
          <w:color w:val="auto"/>
          <w:sz w:val="24"/>
        </w:rPr>
        <w:t>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p>
    <w:p w14:paraId="02FB9515">
      <w:pPr>
        <w:spacing w:line="360" w:lineRule="auto"/>
        <w:ind w:left="240" w:hanging="240"/>
        <w:rPr>
          <w:rFonts w:hint="eastAsia" w:ascii="宋体" w:hAnsi="宋体" w:eastAsia="宋体" w:cs="宋体"/>
          <w:color w:val="auto"/>
          <w:sz w:val="24"/>
        </w:rPr>
      </w:pPr>
      <w:r>
        <w:rPr>
          <w:rFonts w:hint="eastAsia" w:ascii="宋体" w:hAnsi="宋体" w:eastAsia="宋体" w:cs="宋体"/>
          <w:color w:val="auto"/>
          <w:sz w:val="24"/>
        </w:rPr>
        <w:t xml:space="preserve">            </w:t>
      </w:r>
    </w:p>
    <w:p w14:paraId="0109D4FB">
      <w:pPr>
        <w:spacing w:line="360" w:lineRule="auto"/>
        <w:ind w:left="240" w:hanging="240"/>
        <w:rPr>
          <w:rFonts w:hint="eastAsia" w:ascii="宋体" w:hAnsi="宋体" w:eastAsia="宋体" w:cs="宋体"/>
          <w:color w:val="auto"/>
          <w:sz w:val="24"/>
          <w:u w:val="single"/>
        </w:rPr>
      </w:pPr>
      <w:r>
        <w:rPr>
          <w:rFonts w:hint="eastAsia" w:ascii="宋体" w:hAnsi="宋体" w:eastAsia="宋体" w:cs="宋体"/>
          <w:color w:val="auto"/>
          <w:sz w:val="24"/>
        </w:rPr>
        <w:t xml:space="preserve">                     项目负责人（签字）：</w:t>
      </w:r>
      <w:r>
        <w:rPr>
          <w:rFonts w:hint="eastAsia" w:ascii="宋体" w:hAnsi="宋体" w:eastAsia="宋体" w:cs="宋体"/>
          <w:color w:val="auto"/>
          <w:sz w:val="24"/>
          <w:u w:val="single"/>
        </w:rPr>
        <w:t xml:space="preserve">             </w:t>
      </w:r>
    </w:p>
    <w:p w14:paraId="1F1CF890">
      <w:pPr>
        <w:spacing w:line="360" w:lineRule="auto"/>
        <w:ind w:firstLine="2520"/>
        <w:rPr>
          <w:rFonts w:hint="eastAsia" w:ascii="宋体" w:hAnsi="宋体" w:eastAsia="宋体" w:cs="宋体"/>
          <w:color w:val="auto"/>
          <w:sz w:val="24"/>
        </w:rPr>
      </w:pPr>
      <w:r>
        <w:rPr>
          <w:rFonts w:hint="eastAsia" w:ascii="宋体" w:hAnsi="宋体" w:eastAsia="宋体" w:cs="宋体"/>
          <w:color w:val="auto"/>
          <w:sz w:val="24"/>
        </w:rPr>
        <w:t>中标人法人代表（签字）：</w:t>
      </w:r>
      <w:r>
        <w:rPr>
          <w:rFonts w:hint="eastAsia" w:ascii="宋体" w:hAnsi="宋体" w:eastAsia="宋体" w:cs="宋体"/>
          <w:color w:val="auto"/>
          <w:sz w:val="24"/>
          <w:u w:val="single"/>
        </w:rPr>
        <w:t xml:space="preserve">         </w:t>
      </w:r>
    </w:p>
    <w:p w14:paraId="01FF3CC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                           </w:t>
      </w:r>
    </w:p>
    <w:p w14:paraId="79E1DFE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                                     公   章</w:t>
      </w:r>
    </w:p>
    <w:p w14:paraId="7CCD8014">
      <w:pPr>
        <w:pStyle w:val="67"/>
        <w:rPr>
          <w:rFonts w:hint="eastAsia" w:ascii="宋体" w:hAnsi="宋体" w:eastAsia="宋体" w:cs="宋体"/>
          <w:color w:val="auto"/>
        </w:rPr>
      </w:pPr>
    </w:p>
    <w:p w14:paraId="3D8EF35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                                   年   月    日</w:t>
      </w:r>
    </w:p>
    <w:p w14:paraId="35818014">
      <w:pPr>
        <w:spacing w:line="360" w:lineRule="auto"/>
        <w:ind w:firstLine="480"/>
        <w:rPr>
          <w:rFonts w:hint="eastAsia" w:ascii="宋体" w:hAnsi="宋体" w:eastAsia="宋体" w:cs="宋体"/>
          <w:color w:val="auto"/>
          <w:sz w:val="24"/>
        </w:rPr>
      </w:pPr>
    </w:p>
    <w:p w14:paraId="5237FF47">
      <w:pPr>
        <w:spacing w:line="360" w:lineRule="auto"/>
        <w:ind w:firstLine="480"/>
        <w:rPr>
          <w:rFonts w:hint="eastAsia" w:ascii="宋体" w:hAnsi="宋体" w:eastAsia="宋体" w:cs="宋体"/>
          <w:color w:val="auto"/>
        </w:rPr>
      </w:pPr>
    </w:p>
    <w:p w14:paraId="0BE19F0C">
      <w:pPr>
        <w:spacing w:line="360" w:lineRule="auto"/>
        <w:ind w:firstLine="480"/>
        <w:rPr>
          <w:rFonts w:hint="eastAsia" w:ascii="宋体" w:hAnsi="宋体" w:eastAsia="宋体" w:cs="宋体"/>
          <w:color w:val="auto"/>
          <w:sz w:val="24"/>
        </w:rPr>
      </w:pPr>
    </w:p>
    <w:p w14:paraId="0AA03210">
      <w:pPr>
        <w:pStyle w:val="19"/>
        <w:spacing w:line="360" w:lineRule="auto"/>
        <w:rPr>
          <w:rFonts w:hint="eastAsia" w:ascii="宋体" w:hAnsi="宋体" w:eastAsia="宋体" w:cs="宋体"/>
          <w:color w:val="auto"/>
          <w:sz w:val="24"/>
          <w:szCs w:val="24"/>
        </w:rPr>
      </w:pPr>
    </w:p>
    <w:p w14:paraId="1E18E678">
      <w:pPr>
        <w:pStyle w:val="31"/>
        <w:spacing w:line="360" w:lineRule="auto"/>
        <w:rPr>
          <w:rFonts w:hint="eastAsia" w:ascii="宋体" w:hAnsi="宋体" w:eastAsia="宋体" w:cs="宋体"/>
          <w:color w:val="auto"/>
          <w:sz w:val="24"/>
        </w:rPr>
      </w:pPr>
    </w:p>
    <w:p w14:paraId="4EB94CCC">
      <w:pPr>
        <w:pStyle w:val="31"/>
        <w:spacing w:line="360" w:lineRule="auto"/>
        <w:rPr>
          <w:rFonts w:hint="eastAsia" w:ascii="宋体" w:hAnsi="宋体" w:eastAsia="宋体" w:cs="宋体"/>
          <w:color w:val="auto"/>
          <w:sz w:val="24"/>
        </w:rPr>
      </w:pPr>
    </w:p>
    <w:p w14:paraId="0E8FE36A">
      <w:pPr>
        <w:pStyle w:val="31"/>
        <w:spacing w:line="360" w:lineRule="auto"/>
        <w:rPr>
          <w:rFonts w:hint="eastAsia" w:ascii="宋体" w:hAnsi="宋体" w:eastAsia="宋体" w:cs="宋体"/>
          <w:color w:val="auto"/>
          <w:sz w:val="24"/>
        </w:rPr>
      </w:pPr>
    </w:p>
    <w:p w14:paraId="52DD3A98">
      <w:pPr>
        <w:pStyle w:val="31"/>
        <w:spacing w:line="360" w:lineRule="auto"/>
        <w:rPr>
          <w:rFonts w:hint="eastAsia" w:ascii="宋体" w:hAnsi="宋体" w:eastAsia="宋体" w:cs="宋体"/>
          <w:color w:val="auto"/>
          <w:sz w:val="24"/>
        </w:rPr>
      </w:pPr>
    </w:p>
    <w:p w14:paraId="5741E3E1">
      <w:pPr>
        <w:pStyle w:val="31"/>
        <w:spacing w:line="360" w:lineRule="auto"/>
        <w:rPr>
          <w:rFonts w:hint="eastAsia" w:ascii="宋体" w:hAnsi="宋体" w:eastAsia="宋体" w:cs="宋体"/>
          <w:color w:val="auto"/>
          <w:sz w:val="24"/>
        </w:rPr>
      </w:pPr>
    </w:p>
    <w:p w14:paraId="2921013C">
      <w:pPr>
        <w:pStyle w:val="31"/>
        <w:spacing w:line="360" w:lineRule="auto"/>
        <w:rPr>
          <w:rFonts w:hint="eastAsia" w:ascii="宋体" w:hAnsi="宋体" w:eastAsia="宋体" w:cs="宋体"/>
          <w:color w:val="auto"/>
          <w:sz w:val="24"/>
        </w:rPr>
      </w:pPr>
    </w:p>
    <w:p w14:paraId="2F7C4FB6">
      <w:pPr>
        <w:pStyle w:val="31"/>
        <w:spacing w:line="360" w:lineRule="auto"/>
        <w:rPr>
          <w:rFonts w:hint="eastAsia" w:ascii="宋体" w:hAnsi="宋体" w:eastAsia="宋体" w:cs="宋体"/>
          <w:color w:val="auto"/>
          <w:sz w:val="24"/>
        </w:rPr>
      </w:pPr>
    </w:p>
    <w:p w14:paraId="0F041FB1">
      <w:pPr>
        <w:pStyle w:val="31"/>
        <w:spacing w:line="360" w:lineRule="auto"/>
        <w:rPr>
          <w:rFonts w:hint="eastAsia" w:ascii="宋体" w:hAnsi="宋体" w:eastAsia="宋体" w:cs="宋体"/>
          <w:color w:val="auto"/>
          <w:sz w:val="24"/>
        </w:rPr>
      </w:pPr>
    </w:p>
    <w:p w14:paraId="588D45B9">
      <w:pPr>
        <w:pStyle w:val="31"/>
        <w:spacing w:line="360" w:lineRule="auto"/>
        <w:rPr>
          <w:rFonts w:hint="eastAsia" w:ascii="宋体" w:hAnsi="宋体" w:eastAsia="宋体" w:cs="宋体"/>
          <w:color w:val="auto"/>
          <w:sz w:val="24"/>
        </w:rPr>
      </w:pPr>
    </w:p>
    <w:p w14:paraId="3D57D6D4">
      <w:pPr>
        <w:pStyle w:val="31"/>
        <w:spacing w:line="360" w:lineRule="auto"/>
        <w:rPr>
          <w:rFonts w:hint="eastAsia" w:ascii="宋体" w:hAnsi="宋体" w:eastAsia="宋体" w:cs="宋体"/>
          <w:color w:val="auto"/>
          <w:sz w:val="24"/>
        </w:rPr>
      </w:pPr>
    </w:p>
    <w:p w14:paraId="4C401A0C">
      <w:pP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附件4</w:t>
      </w:r>
    </w:p>
    <w:p w14:paraId="09EE8FB1">
      <w:pPr>
        <w:pStyle w:val="38"/>
        <w:spacing w:line="360" w:lineRule="auto"/>
        <w:ind w:firstLine="643"/>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不拖欠农民工工资承诺书</w:t>
      </w:r>
    </w:p>
    <w:p w14:paraId="12BAD3D3">
      <w:pPr>
        <w:spacing w:line="360" w:lineRule="auto"/>
        <w:ind w:firstLine="422"/>
        <w:jc w:val="center"/>
        <w:rPr>
          <w:rFonts w:hint="eastAsia" w:ascii="宋体" w:hAnsi="宋体" w:eastAsia="宋体" w:cs="宋体"/>
          <w:b/>
          <w:color w:val="auto"/>
          <w:szCs w:val="21"/>
        </w:rPr>
      </w:pPr>
    </w:p>
    <w:p w14:paraId="15C2773D">
      <w:pPr>
        <w:pStyle w:val="290"/>
        <w:spacing w:before="0" w:after="0" w:line="360" w:lineRule="auto"/>
        <w:ind w:left="0" w:right="0" w:firstLine="480"/>
        <w:rPr>
          <w:rFonts w:hint="eastAsia" w:ascii="宋体" w:hAnsi="宋体" w:eastAsia="宋体" w:cs="宋体"/>
          <w:color w:val="auto"/>
          <w:szCs w:val="24"/>
        </w:rPr>
      </w:pPr>
      <w:r>
        <w:rPr>
          <w:rFonts w:hint="eastAsia" w:ascii="宋体" w:hAnsi="宋体" w:eastAsia="宋体" w:cs="宋体"/>
          <w:color w:val="auto"/>
          <w:szCs w:val="24"/>
        </w:rPr>
        <w:t>致：</w:t>
      </w:r>
      <w:r>
        <w:rPr>
          <w:rFonts w:hint="eastAsia" w:ascii="宋体" w:hAnsi="宋体" w:eastAsia="宋体" w:cs="宋体"/>
          <w:color w:val="auto"/>
          <w:szCs w:val="24"/>
          <w:u w:val="single"/>
        </w:rPr>
        <w:t xml:space="preserve">                           </w:t>
      </w:r>
    </w:p>
    <w:p w14:paraId="5296EF77">
      <w:pPr>
        <w:pStyle w:val="290"/>
        <w:spacing w:before="0" w:after="0" w:line="360" w:lineRule="auto"/>
        <w:ind w:left="0" w:right="0" w:firstLine="480"/>
        <w:rPr>
          <w:rFonts w:hint="eastAsia" w:ascii="宋体" w:hAnsi="宋体" w:eastAsia="宋体" w:cs="宋体"/>
          <w:color w:val="auto"/>
          <w:szCs w:val="24"/>
        </w:rPr>
      </w:pPr>
      <w:r>
        <w:rPr>
          <w:rFonts w:hint="eastAsia" w:ascii="宋体" w:hAnsi="宋体" w:eastAsia="宋体" w:cs="宋体"/>
          <w:color w:val="auto"/>
          <w:szCs w:val="24"/>
        </w:rPr>
        <w:t>为保护农民工的合法权益，不拖欠农民工工资，本人</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（法定代表人姓名）以</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（承包人全称）法定代表人的资格，郑重承诺：</w:t>
      </w:r>
    </w:p>
    <w:p w14:paraId="2F16F73F">
      <w:pPr>
        <w:pStyle w:val="290"/>
        <w:spacing w:before="0" w:after="0" w:line="360" w:lineRule="auto"/>
        <w:ind w:left="0" w:right="0" w:firstLine="480"/>
        <w:rPr>
          <w:rFonts w:hint="eastAsia" w:ascii="宋体" w:hAnsi="宋体" w:eastAsia="宋体" w:cs="宋体"/>
          <w:color w:val="auto"/>
          <w:szCs w:val="24"/>
        </w:rPr>
      </w:pPr>
      <w:r>
        <w:rPr>
          <w:rFonts w:hint="eastAsia" w:ascii="宋体" w:hAnsi="宋体" w:eastAsia="宋体" w:cs="宋体"/>
          <w:color w:val="auto"/>
          <w:szCs w:val="24"/>
        </w:rPr>
        <w:t>本单位中标承建（项目名称）需要使用农民工时，将保证做到：</w:t>
      </w:r>
    </w:p>
    <w:p w14:paraId="362D7DA0">
      <w:pPr>
        <w:pStyle w:val="290"/>
        <w:spacing w:before="0" w:after="0" w:line="360" w:lineRule="auto"/>
        <w:ind w:left="0" w:right="0" w:firstLine="480"/>
        <w:rPr>
          <w:rFonts w:hint="eastAsia" w:ascii="宋体" w:hAnsi="宋体" w:eastAsia="宋体" w:cs="宋体"/>
          <w:color w:val="auto"/>
          <w:szCs w:val="24"/>
        </w:rPr>
      </w:pPr>
      <w:r>
        <w:rPr>
          <w:rFonts w:hint="eastAsia" w:ascii="宋体" w:hAnsi="宋体" w:eastAsia="宋体" w:cs="宋体"/>
          <w:color w:val="auto"/>
          <w:szCs w:val="24"/>
        </w:rPr>
        <w:t>1、按照《劳动法》规定雇用和使用农民工，工资将直接发给农民工本人，严禁发放给“包工头”。</w:t>
      </w:r>
    </w:p>
    <w:p w14:paraId="00D72805">
      <w:pPr>
        <w:pStyle w:val="290"/>
        <w:spacing w:before="0" w:after="0" w:line="360" w:lineRule="auto"/>
        <w:ind w:left="0" w:right="0" w:firstLine="480"/>
        <w:rPr>
          <w:rFonts w:hint="eastAsia" w:ascii="宋体" w:hAnsi="宋体" w:eastAsia="宋体" w:cs="宋体"/>
          <w:color w:val="auto"/>
          <w:szCs w:val="24"/>
        </w:rPr>
      </w:pPr>
      <w:r>
        <w:rPr>
          <w:rFonts w:hint="eastAsia" w:ascii="宋体" w:hAnsi="宋体" w:eastAsia="宋体" w:cs="宋体"/>
          <w:color w:val="auto"/>
          <w:szCs w:val="24"/>
        </w:rPr>
        <w:t>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1BE65805">
      <w:pPr>
        <w:pStyle w:val="290"/>
        <w:spacing w:before="0" w:after="0" w:line="360" w:lineRule="auto"/>
        <w:ind w:left="0" w:right="0" w:firstLine="480"/>
        <w:rPr>
          <w:rFonts w:hint="eastAsia" w:ascii="宋体" w:hAnsi="宋体" w:eastAsia="宋体" w:cs="宋体"/>
          <w:color w:val="auto"/>
          <w:szCs w:val="24"/>
        </w:rPr>
      </w:pPr>
      <w:r>
        <w:rPr>
          <w:rFonts w:hint="eastAsia" w:ascii="宋体" w:hAnsi="宋体" w:eastAsia="宋体" w:cs="宋体"/>
          <w:color w:val="auto"/>
          <w:szCs w:val="24"/>
        </w:rPr>
        <w:t>3、严格遵守国家和地方关于农民工工资的其他有关规定。</w:t>
      </w:r>
    </w:p>
    <w:p w14:paraId="47690034">
      <w:pPr>
        <w:pStyle w:val="290"/>
        <w:spacing w:before="0" w:after="0" w:line="360" w:lineRule="auto"/>
        <w:ind w:left="0" w:right="0" w:firstLine="480"/>
        <w:rPr>
          <w:rFonts w:hint="eastAsia" w:ascii="宋体" w:hAnsi="宋体" w:eastAsia="宋体" w:cs="宋体"/>
          <w:color w:val="auto"/>
          <w:szCs w:val="24"/>
        </w:rPr>
      </w:pPr>
      <w:r>
        <w:rPr>
          <w:rFonts w:hint="eastAsia" w:ascii="宋体" w:hAnsi="宋体" w:eastAsia="宋体" w:cs="宋体"/>
          <w:color w:val="auto"/>
          <w:szCs w:val="24"/>
        </w:rPr>
        <w:t>4、如果发生违反规定拖欠或克扣农民工工资行为，造成农民工上访，本单位愿意无条件接受发包人采取的经济等处罚，同时愿意接受建设行政主管部门依照有关规定作出的其它处罚决定。</w:t>
      </w:r>
    </w:p>
    <w:p w14:paraId="49B7C14C">
      <w:pPr>
        <w:pStyle w:val="290"/>
        <w:spacing w:before="0" w:after="0" w:line="360" w:lineRule="auto"/>
        <w:ind w:left="0" w:right="0" w:firstLine="480"/>
        <w:rPr>
          <w:rFonts w:hint="eastAsia" w:ascii="宋体" w:hAnsi="宋体" w:eastAsia="宋体" w:cs="宋体"/>
          <w:color w:val="auto"/>
          <w:szCs w:val="24"/>
        </w:rPr>
      </w:pPr>
    </w:p>
    <w:p w14:paraId="1AC5A039">
      <w:pPr>
        <w:pStyle w:val="290"/>
        <w:spacing w:before="0" w:after="0" w:line="360" w:lineRule="auto"/>
        <w:ind w:left="0" w:right="0" w:firstLine="480"/>
        <w:rPr>
          <w:rFonts w:hint="eastAsia" w:ascii="宋体" w:hAnsi="宋体" w:eastAsia="宋体" w:cs="宋体"/>
          <w:color w:val="auto"/>
          <w:szCs w:val="24"/>
        </w:rPr>
      </w:pPr>
    </w:p>
    <w:p w14:paraId="09D48FA8">
      <w:pPr>
        <w:pStyle w:val="290"/>
        <w:spacing w:before="0" w:after="0" w:line="360" w:lineRule="auto"/>
        <w:ind w:left="0" w:right="0" w:firstLine="4800"/>
        <w:rPr>
          <w:rFonts w:hint="eastAsia" w:ascii="宋体" w:hAnsi="宋体" w:eastAsia="宋体" w:cs="宋体"/>
          <w:color w:val="auto"/>
          <w:szCs w:val="24"/>
        </w:rPr>
      </w:pPr>
      <w:r>
        <w:rPr>
          <w:rFonts w:hint="eastAsia" w:ascii="宋体" w:hAnsi="宋体" w:eastAsia="宋体" w:cs="宋体"/>
          <w:color w:val="auto"/>
          <w:szCs w:val="24"/>
        </w:rPr>
        <w:t xml:space="preserve">承包人（公章）： </w:t>
      </w:r>
    </w:p>
    <w:p w14:paraId="454A820E">
      <w:pPr>
        <w:pStyle w:val="290"/>
        <w:spacing w:before="0" w:after="0" w:line="360" w:lineRule="auto"/>
        <w:ind w:left="0" w:right="0" w:firstLine="4800"/>
        <w:rPr>
          <w:rFonts w:hint="eastAsia" w:ascii="宋体" w:hAnsi="宋体" w:eastAsia="宋体" w:cs="宋体"/>
          <w:color w:val="auto"/>
          <w:szCs w:val="24"/>
        </w:rPr>
      </w:pPr>
      <w:r>
        <w:rPr>
          <w:rFonts w:hint="eastAsia" w:ascii="宋体" w:hAnsi="宋体" w:eastAsia="宋体" w:cs="宋体"/>
          <w:color w:val="auto"/>
          <w:szCs w:val="24"/>
        </w:rPr>
        <w:t>法定代表人（签字）：</w:t>
      </w:r>
    </w:p>
    <w:p w14:paraId="2B2B818A">
      <w:pPr>
        <w:pStyle w:val="290"/>
        <w:spacing w:before="0" w:after="0" w:line="360" w:lineRule="auto"/>
        <w:ind w:left="0" w:right="0" w:firstLine="4800"/>
        <w:rPr>
          <w:rFonts w:hint="eastAsia" w:ascii="宋体" w:hAnsi="宋体" w:eastAsia="宋体" w:cs="宋体"/>
          <w:color w:val="auto"/>
          <w:szCs w:val="24"/>
        </w:rPr>
      </w:pPr>
      <w:r>
        <w:rPr>
          <w:rFonts w:hint="eastAsia" w:ascii="宋体" w:hAnsi="宋体" w:eastAsia="宋体" w:cs="宋体"/>
          <w:color w:val="auto"/>
          <w:szCs w:val="24"/>
        </w:rPr>
        <w:t>日  期：     年  月   日</w:t>
      </w:r>
    </w:p>
    <w:p w14:paraId="63F8901E">
      <w:pPr>
        <w:spacing w:line="360" w:lineRule="auto"/>
        <w:ind w:left="1205" w:hanging="1205"/>
        <w:rPr>
          <w:rFonts w:hint="eastAsia" w:ascii="宋体" w:hAnsi="宋体" w:eastAsia="宋体" w:cs="宋体"/>
          <w:b/>
          <w:bCs/>
          <w:color w:val="auto"/>
          <w:sz w:val="24"/>
        </w:rPr>
      </w:pPr>
      <w:r>
        <w:rPr>
          <w:rFonts w:hint="eastAsia" w:ascii="宋体" w:hAnsi="宋体" w:eastAsia="宋体" w:cs="宋体"/>
          <w:b/>
          <w:bCs/>
          <w:color w:val="auto"/>
          <w:sz w:val="24"/>
        </w:rPr>
        <w:t xml:space="preserve">  </w:t>
      </w:r>
    </w:p>
    <w:p w14:paraId="467F5624">
      <w:pPr>
        <w:spacing w:line="360" w:lineRule="auto"/>
        <w:ind w:left="1205" w:hanging="1205"/>
        <w:rPr>
          <w:rFonts w:hint="eastAsia"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b/>
          <w:bCs/>
          <w:color w:val="auto"/>
          <w:sz w:val="24"/>
        </w:rPr>
        <w:t>附件5</w:t>
      </w:r>
    </w:p>
    <w:p w14:paraId="128EC7C5">
      <w:pPr>
        <w:keepNext w:val="0"/>
        <w:keepLines w:val="0"/>
        <w:pageBreakBefore w:val="0"/>
        <w:widowControl w:val="0"/>
        <w:spacing w:line="360" w:lineRule="auto"/>
        <w:jc w:val="center"/>
        <w:rPr>
          <w:rFonts w:hint="eastAsia" w:ascii="宋体" w:hAnsi="宋体" w:eastAsia="宋体" w:cs="宋体"/>
          <w:color w:val="auto"/>
          <w:sz w:val="28"/>
          <w:szCs w:val="28"/>
        </w:rPr>
      </w:pPr>
      <w:r>
        <w:rPr>
          <w:rFonts w:hint="eastAsia" w:ascii="宋体" w:hAnsi="宋体" w:eastAsia="宋体" w:cs="宋体"/>
          <w:b/>
          <w:bCs/>
          <w:color w:val="auto"/>
          <w:sz w:val="28"/>
          <w:szCs w:val="28"/>
        </w:rPr>
        <w:t>工程安全环境管理协议</w:t>
      </w:r>
    </w:p>
    <w:p w14:paraId="0308267F">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发包人：</w:t>
      </w:r>
      <w:r>
        <w:rPr>
          <w:rFonts w:hint="eastAsia" w:ascii="宋体" w:hAnsi="宋体" w:eastAsia="宋体" w:cs="宋体"/>
          <w:color w:val="auto"/>
          <w:sz w:val="24"/>
          <w:szCs w:val="24"/>
          <w:u w:val="single"/>
        </w:rPr>
        <w:t xml:space="preserve">                     </w:t>
      </w:r>
    </w:p>
    <w:p w14:paraId="0CA77B8A">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承包人：</w:t>
      </w:r>
      <w:r>
        <w:rPr>
          <w:rFonts w:hint="eastAsia" w:ascii="宋体" w:hAnsi="宋体" w:eastAsia="宋体" w:cs="宋体"/>
          <w:color w:val="auto"/>
          <w:sz w:val="24"/>
          <w:szCs w:val="24"/>
          <w:u w:val="single"/>
        </w:rPr>
        <w:t xml:space="preserve">                     </w:t>
      </w:r>
    </w:p>
    <w:p w14:paraId="460AA9E0">
      <w:pPr>
        <w:keepNext w:val="0"/>
        <w:keepLines w:val="0"/>
        <w:pageBreakBefore w:val="0"/>
        <w:widowControl w:val="0"/>
        <w:spacing w:line="360" w:lineRule="auto"/>
        <w:ind w:firstLine="440"/>
        <w:rPr>
          <w:rFonts w:hint="eastAsia" w:ascii="宋体" w:hAnsi="宋体" w:eastAsia="宋体" w:cs="宋体"/>
          <w:color w:val="auto"/>
          <w:sz w:val="24"/>
          <w:szCs w:val="24"/>
        </w:rPr>
      </w:pPr>
      <w:r>
        <w:rPr>
          <w:rFonts w:hint="eastAsia" w:ascii="宋体" w:hAnsi="宋体" w:eastAsia="宋体" w:cs="宋体"/>
          <w:color w:val="auto"/>
          <w:sz w:val="24"/>
          <w:szCs w:val="24"/>
        </w:rPr>
        <w:t>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p>
    <w:p w14:paraId="1FD405F1">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1、安全文明施工管理目标</w:t>
      </w:r>
    </w:p>
    <w:p w14:paraId="3AB5F019">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（1）杜绝重伤及以上事故；</w:t>
      </w:r>
    </w:p>
    <w:p w14:paraId="48108FF1">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（2）杜绝重大机械设备事故；</w:t>
      </w:r>
    </w:p>
    <w:p w14:paraId="7C866892">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（3）杜绝重大火灾事故；</w:t>
      </w:r>
    </w:p>
    <w:p w14:paraId="1F1FCF2A">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（4）杜绝负主要责任的重大交通事故；</w:t>
      </w:r>
    </w:p>
    <w:p w14:paraId="0C004AF2">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（5）杜绝重复发生相同性质的事故；</w:t>
      </w:r>
    </w:p>
    <w:p w14:paraId="40BFABC4">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（6）创建安全文明施工样板工程；</w:t>
      </w:r>
    </w:p>
    <w:p w14:paraId="45EBDA50">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（7）杜绝重大设备损坏事故。</w:t>
      </w:r>
    </w:p>
    <w:p w14:paraId="1C6AD3F6">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2、安全文明施工和环境管理执行标准：</w:t>
      </w:r>
    </w:p>
    <w:p w14:paraId="2472FD3F">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以下标准双方均应认真执行：</w:t>
      </w:r>
    </w:p>
    <w:p w14:paraId="61BD22CE">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（1）《建设工程安全管理条例》；</w:t>
      </w:r>
    </w:p>
    <w:p w14:paraId="39B3B15E">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（2）国家有关部、委、各级政府部门和上级主管部门颁发的有关安全生产和环境保护工作的法令、法规、规定、制度； </w:t>
      </w:r>
    </w:p>
    <w:p w14:paraId="285CFF89">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（3）发包人有关安全文明施工及环境保护的规定、制度。</w:t>
      </w:r>
    </w:p>
    <w:p w14:paraId="09CBCAF3">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3、发包人的权利和义务：</w:t>
      </w:r>
    </w:p>
    <w:p w14:paraId="232E7E72">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（1）发包人按有关规定对承包人的资质进行审查，确认承包人承包的工程与其资质相符合；</w:t>
      </w:r>
    </w:p>
    <w:p w14:paraId="64F9AC2B">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（2）发包人在施工前负责审核承包人的施工组织设计；</w:t>
      </w:r>
    </w:p>
    <w:p w14:paraId="17DF7F71">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6AE4B2CD">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（4）对承包人在施工中新增的施工人员，发包人有权按以上要求进行检查；</w:t>
      </w:r>
    </w:p>
    <w:p w14:paraId="3F31C240">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（5）施工前发包人有权对承包人的电动工器具、仪表等进行抽样检查；</w:t>
      </w:r>
    </w:p>
    <w:p w14:paraId="54EC1DD9">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（6）施工期间，发包人设专职安监人员负责联系、检查、督促承包人执行有关安全、防火规定，并协助检查和处理工程施工中有关的安全、防火工作、预防事故发生；</w:t>
      </w:r>
    </w:p>
    <w:p w14:paraId="2276A37D">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（7）发包人有协助承包人搞好安全生产、防火管理的义务。当承包人出现安全、文明施工严重失控情况下，发包人有权按《建设工程安全管理条例》的要求做出停工整顿，限期整改、直到清退出场的决定；</w:t>
      </w:r>
    </w:p>
    <w:p w14:paraId="5769444E">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（8）发包人不得要求承包人违反安全管理规定进行施工。因发包人原因导致事故由发包人承担责任；</w:t>
      </w:r>
    </w:p>
    <w:p w14:paraId="59D1621D">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（9）由发包人提供的机械设备、安全设施，在安装完毕提交使用前，发包人应配合承包人共同按规定验收，并做好验收及交付使用的书面手续。</w:t>
      </w:r>
    </w:p>
    <w:p w14:paraId="1FED1554">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4、承包人的权利和义务：</w:t>
      </w:r>
    </w:p>
    <w:p w14:paraId="3E3C5D10">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（1）承包人需根据现场的实际开工情况，找出危险源，列出《风险源清单》，根据风险的大小，编制《施工现场工作风险评估》；</w:t>
      </w:r>
    </w:p>
    <w:p w14:paraId="0B791FF3">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（2）承包人应建立安全管理体系，明确在施工现场负责安全生产的领导。承包人必须配有专职安全员，专职安全人员的数量应按施工人员数量的 3%配备。安全员应经专门培训考试合格，并持有相应上岗证或资质证书；</w:t>
      </w:r>
    </w:p>
    <w:p w14:paraId="4C7ED701">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（3）承包人必须建立安全管理制度，各级安全生产岗位责任制和定期安全检查、安全教育制度，包括各工种的安全操作规程、特种作业人员的考核制度等；</w:t>
      </w:r>
    </w:p>
    <w:p w14:paraId="68C75A40">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（4）承包人在项目施工开始前要根据《施工组织设计》或《安全施工方案（措施）》向施工人员进行安全技术交底；</w:t>
      </w:r>
    </w:p>
    <w:p w14:paraId="0245554E">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5）承包人必须严格按施工组织设计和有关安全要求规定组织施工。对有可能发生火灾、爆炸、触电、中毒、窒息、机械伤害、烧烫伤等危险或会引起严重设备事故的作业，承包人应制定专项施工安全技术措施；</w:t>
      </w:r>
    </w:p>
    <w:p w14:paraId="5E774EBC">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5896F29E">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（7）承包人施工人员应经安规考试合格后上岗；</w:t>
      </w:r>
    </w:p>
    <w:p w14:paraId="2FC09EC9">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（8）承包人施工人员应对所在的施工区域、作业环境、操作设施设备、工器具等进行认真检查，发现隐患立即处理，落实整改措施；</w:t>
      </w:r>
    </w:p>
    <w:p w14:paraId="29D92126">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（9）承包人在施工期间由于施工机械、工器具原因或使用操作不当而造成伤亡事故，由承包人负责；</w:t>
      </w:r>
    </w:p>
    <w:p w14:paraId="5B90691F">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（10）承包人对施工现场安全设施（如脚手架等）每天开工前必须检查，发现隐患及时整改；</w:t>
      </w:r>
    </w:p>
    <w:p w14:paraId="6899AA51">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401E9504">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（12）承包人必须按规定为作业人员配备应有的劳动保护用品、用具。承包人所属人员的身体健康状况必须能满足所从事工作的要求；</w:t>
      </w:r>
    </w:p>
    <w:p w14:paraId="328FF9E6">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p>
    <w:p w14:paraId="4765037B">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p>
    <w:p w14:paraId="2AF34AA8">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7、其他</w:t>
      </w:r>
    </w:p>
    <w:p w14:paraId="6DD2AC4B">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（1）承包人工程施工方案中必须包括安全、健康、环保等措施，并贯彻落实到具体工作中，确保施工安全及当地环境不受工程施工破坏；</w:t>
      </w:r>
    </w:p>
    <w:p w14:paraId="12C8A741">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（2）施工过程中产生的废弃物、噪音等排放必须符合相关规定标准；</w:t>
      </w:r>
    </w:p>
    <w:p w14:paraId="5F4807A6">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（3）由于承包人施工破坏周围环境，造成恶劣影响引发纠纷和社会矛盾等由承包人承担全部责任；</w:t>
      </w:r>
    </w:p>
    <w:p w14:paraId="1100C678">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（4）承包人按月（年）向发包人报送企业职工伤亡事故月（年）报告；</w:t>
      </w:r>
    </w:p>
    <w:p w14:paraId="773D47B5">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（5）对发包人组织的安全环境大检查、安全工作会议，承包人应及时派员参加，认真贯彻落实；</w:t>
      </w:r>
    </w:p>
    <w:p w14:paraId="03A5B491">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8、本协议执行过程中如遇有与国家、交通部和地方政府的有关规定不一致时，按国家、交通部和地方政府的有关规定执行；</w:t>
      </w:r>
    </w:p>
    <w:p w14:paraId="2A283D91">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9、本协议经甲乙双方签字、盖章后生效，作为工程合同的附件与合同具有同等的法律效力；</w:t>
      </w:r>
    </w:p>
    <w:p w14:paraId="79FDBE62">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10、甲乙双方必须严格执行本协议，因违反本协议而造成设备、伤亡事故，由违约方承担一切经济损失。</w:t>
      </w:r>
    </w:p>
    <w:p w14:paraId="7B0DA3FA">
      <w:pPr>
        <w:keepNext w:val="0"/>
        <w:keepLines w:val="0"/>
        <w:pageBreakBefore w:val="0"/>
        <w:widowControl w:val="0"/>
        <w:spacing w:line="360" w:lineRule="auto"/>
        <w:ind w:firstLine="480"/>
        <w:rPr>
          <w:rFonts w:hint="eastAsia" w:ascii="宋体" w:hAnsi="宋体" w:eastAsia="宋体" w:cs="宋体"/>
          <w:color w:val="auto"/>
          <w:sz w:val="24"/>
          <w:szCs w:val="24"/>
        </w:rPr>
      </w:pPr>
    </w:p>
    <w:p w14:paraId="0F6499F1">
      <w:pPr>
        <w:keepNext w:val="0"/>
        <w:keepLines w:val="0"/>
        <w:pageBreakBefore w:val="0"/>
        <w:widowControl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发包人（盖章）：                       承包人（盖章）：</w:t>
      </w:r>
    </w:p>
    <w:p w14:paraId="7F923AD7">
      <w:pPr>
        <w:keepNext w:val="0"/>
        <w:keepLines w:val="0"/>
        <w:pageBreakBefore w:val="0"/>
        <w:widowControl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发包人安全第一责任人（签字）：         承包人安全第一责任人（签字）：</w:t>
      </w:r>
    </w:p>
    <w:p w14:paraId="6CB44C6C">
      <w:pPr>
        <w:keepNext w:val="0"/>
        <w:keepLines w:val="0"/>
        <w:pageBreakBefore w:val="0"/>
        <w:widowControl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签约日期：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p>
    <w:p w14:paraId="42502FA9">
      <w:pPr>
        <w:keepNext w:val="0"/>
        <w:keepLines w:val="0"/>
        <w:pageBreakBefore w:val="0"/>
        <w:widowControl w:val="0"/>
        <w:spacing w:line="360" w:lineRule="auto"/>
        <w:rPr>
          <w:rFonts w:hint="eastAsia" w:ascii="宋体" w:hAnsi="宋体" w:eastAsia="宋体" w:cs="宋体"/>
          <w:color w:val="auto"/>
          <w:sz w:val="24"/>
          <w:szCs w:val="24"/>
        </w:rPr>
      </w:pPr>
    </w:p>
    <w:p w14:paraId="5F772637">
      <w:pPr>
        <w:pStyle w:val="252"/>
        <w:spacing w:line="360" w:lineRule="auto"/>
        <w:ind w:firstLine="0"/>
        <w:rPr>
          <w:rFonts w:hint="eastAsia" w:ascii="宋体" w:hAnsi="宋体" w:eastAsia="宋体" w:cs="宋体"/>
          <w:color w:val="auto"/>
        </w:rPr>
      </w:pPr>
    </w:p>
    <w:p w14:paraId="20F4169C">
      <w:pPr>
        <w:spacing w:line="360" w:lineRule="auto"/>
        <w:jc w:val="left"/>
        <w:rPr>
          <w:rFonts w:hint="eastAsia"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b/>
          <w:bCs/>
          <w:color w:val="auto"/>
          <w:sz w:val="24"/>
        </w:rPr>
        <w:t>附件6</w:t>
      </w:r>
    </w:p>
    <w:p w14:paraId="03912504">
      <w:pPr>
        <w:spacing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工程廉政合同</w:t>
      </w:r>
    </w:p>
    <w:p w14:paraId="6F652348">
      <w:pPr>
        <w:spacing w:line="360" w:lineRule="auto"/>
        <w:ind w:firstLine="420"/>
        <w:rPr>
          <w:rFonts w:hint="eastAsia" w:ascii="宋体" w:hAnsi="宋体" w:eastAsia="宋体" w:cs="宋体"/>
          <w:color w:val="auto"/>
          <w:szCs w:val="21"/>
        </w:rPr>
      </w:pPr>
    </w:p>
    <w:p w14:paraId="341AE1F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4"/>
          <w:u w:val="single"/>
        </w:rPr>
        <w:t xml:space="preserve">         </w:t>
      </w:r>
      <w:r>
        <w:rPr>
          <w:rFonts w:hint="eastAsia" w:ascii="宋体" w:hAnsi="宋体" w:eastAsia="宋体" w:cs="宋体"/>
          <w:color w:val="auto"/>
          <w:sz w:val="24"/>
        </w:rPr>
        <w:t>（以下简称“发包人”）与中标单位（全称）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（以下简称“承包人”），特订立如下合同。 </w:t>
      </w:r>
    </w:p>
    <w:p w14:paraId="365CB5C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1、甲乙双方的权利和义务 </w:t>
      </w:r>
    </w:p>
    <w:p w14:paraId="6356814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（1）严格遵守党的政策规定和国家、省、市有关法律法规有关规定。 </w:t>
      </w:r>
    </w:p>
    <w:p w14:paraId="55FADC4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（2）严格执行工程的合同文件，自觉按合同办事。 </w:t>
      </w:r>
    </w:p>
    <w:p w14:paraId="27786F8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（3）双方的业务活动坚持公开、公正、诚信、透明的原则（法律认定的商业秘密和合同文件另有规定除外），不得损害国家和集体利益，违反工程建设管理规章制度。 </w:t>
      </w:r>
    </w:p>
    <w:p w14:paraId="45F116A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（4）建立健全廉政制度，开展廉政教育，设计廉政告示牌，公布举报电话，监督并认真查处违法违纪行为。 </w:t>
      </w:r>
    </w:p>
    <w:p w14:paraId="6A72D3B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（5）发现对方在业务活动中有违反廉政规定的行为，有及时提醒对方纠正的权利和义务。 </w:t>
      </w:r>
    </w:p>
    <w:p w14:paraId="5B94167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（6）发现对方严重违反合同义务条款的行为，有向其上级有关部门举报、建议给予处理并要求告知 处理结果的权利。 </w:t>
      </w:r>
    </w:p>
    <w:p w14:paraId="512375F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2、发包人的义务 </w:t>
      </w:r>
    </w:p>
    <w:p w14:paraId="33E51E7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（1）发包人及其工作人员不得索要或接受承包人的礼金、有价证券和贵重物品，不得在承包人报销任何应由发包人或发包人工作人员个人支付的费用等。 </w:t>
      </w:r>
    </w:p>
    <w:p w14:paraId="631A365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（2）发包人工作人员不得参加承包人安排的超标准宴请和娱乐活动；不得接受承包人提供的通讯工具、交通工具和高档办公用品等。 </w:t>
      </w:r>
    </w:p>
    <w:p w14:paraId="380EDB7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（3）发包人及其工作人员不得要求或者接受承包人为其住房装修、婚丧嫁娶活动、配偶子女的工作安排以及出国出境、旅游等提供方便等。 </w:t>
      </w:r>
    </w:p>
    <w:p w14:paraId="693B868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（4）发包人工作人员及其配偶、子女不得从事与发包人工程有关的材料设备供应、工程分包、劳务等经济活动等。 </w:t>
      </w:r>
    </w:p>
    <w:p w14:paraId="7A5283A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（5）发包人及其工作人员不得以任何理由向承包人推荐分包单位或推销材料，不得要求承包人购买合同规定外的材料和设备。 </w:t>
      </w:r>
    </w:p>
    <w:p w14:paraId="2DC154B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（6）发包人工作人员要秉公办事，不准营私舞弊，不准利用职权从事各种个人有偿中介活动和安排个人施工队伍。 </w:t>
      </w:r>
    </w:p>
    <w:p w14:paraId="091124A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3、承包人义务 </w:t>
      </w:r>
    </w:p>
    <w:p w14:paraId="27F97DD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（1）承包人不得以任何理由向发包人及其工作人员行贿或馈赠礼金、有价证券、贵重礼品。 </w:t>
      </w:r>
    </w:p>
    <w:p w14:paraId="2525F07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（2）承包人不得以任何名义为发包人及其工作人员报销应由发包人单位或个人支付的任何费用。 </w:t>
      </w:r>
    </w:p>
    <w:p w14:paraId="387CCF6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（3）承包人不得以任何理由安排发包人工作人员参加超标准宴请及娱乐活动。</w:t>
      </w:r>
    </w:p>
    <w:p w14:paraId="731D01E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（4）承包人不得为发包人单位和个人购置或提供通讯工具、交通工具和高档办公用品等。 </w:t>
      </w:r>
    </w:p>
    <w:p w14:paraId="625FABC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4、违约责任 </w:t>
      </w:r>
    </w:p>
    <w:p w14:paraId="121A615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（1）发包人及其工作人员违反本合同第一、二条，按管理权限，依据有关规定给予党纪、政纪或组织处理；涉嫌犯罪的，移交司法机关追究刑事责任；给承包人单位造成经济损失的，应予以赔偿。 </w:t>
      </w:r>
    </w:p>
    <w:p w14:paraId="3374AE0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p>
    <w:p w14:paraId="0617376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p>
    <w:p w14:paraId="4F03FA0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6、本合同有效期为甲乙双方签署之日起至该工程项目竣工验收后止。 </w:t>
      </w:r>
    </w:p>
    <w:p w14:paraId="03212D2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7、本合同作为工程施工合同的附件，与工程施工合同具有同等的法律效力，经合同双方签署立即生效。 </w:t>
      </w:r>
    </w:p>
    <w:p w14:paraId="5D2D992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8、本合同一式四份，由甲乙双方各执一份，送交甲乙双方的监督单位各一份。</w:t>
      </w:r>
    </w:p>
    <w:p w14:paraId="359BC1A5">
      <w:pPr>
        <w:spacing w:line="360" w:lineRule="auto"/>
        <w:contextualSpacing/>
        <w:rPr>
          <w:rFonts w:hint="eastAsia" w:ascii="宋体" w:hAnsi="宋体" w:eastAsia="宋体" w:cs="宋体"/>
          <w:color w:val="auto"/>
          <w:sz w:val="24"/>
          <w:szCs w:val="28"/>
        </w:rPr>
      </w:pPr>
    </w:p>
    <w:p w14:paraId="116A3D95">
      <w:pPr>
        <w:pStyle w:val="252"/>
        <w:spacing w:line="360" w:lineRule="auto"/>
        <w:rPr>
          <w:rFonts w:hint="eastAsia" w:ascii="宋体" w:hAnsi="宋体" w:eastAsia="宋体" w:cs="宋体"/>
          <w:color w:val="auto"/>
          <w:sz w:val="24"/>
          <w:szCs w:val="28"/>
        </w:rPr>
      </w:pPr>
    </w:p>
    <w:p w14:paraId="199AE6AB">
      <w:pPr>
        <w:pStyle w:val="252"/>
        <w:spacing w:line="360" w:lineRule="auto"/>
        <w:rPr>
          <w:rFonts w:hint="eastAsia" w:ascii="宋体" w:hAnsi="宋体" w:eastAsia="宋体" w:cs="宋体"/>
          <w:color w:val="auto"/>
          <w:sz w:val="24"/>
          <w:szCs w:val="28"/>
        </w:rPr>
      </w:pPr>
    </w:p>
    <w:p w14:paraId="76466948">
      <w:pPr>
        <w:spacing w:line="360" w:lineRule="auto"/>
        <w:contextualSpacing/>
        <w:rPr>
          <w:rFonts w:hint="eastAsia" w:ascii="宋体" w:hAnsi="宋体" w:eastAsia="宋体" w:cs="宋体"/>
          <w:color w:val="auto"/>
          <w:sz w:val="24"/>
          <w:szCs w:val="28"/>
        </w:rPr>
      </w:pPr>
      <w:r>
        <w:rPr>
          <w:rFonts w:hint="eastAsia" w:ascii="宋体" w:hAnsi="宋体" w:eastAsia="宋体" w:cs="宋体"/>
          <w:color w:val="auto"/>
          <w:sz w:val="24"/>
          <w:szCs w:val="28"/>
        </w:rPr>
        <w:t xml:space="preserve">发包人（盖章）                     承包人（盖章）              </w:t>
      </w:r>
    </w:p>
    <w:p w14:paraId="639031A5">
      <w:pPr>
        <w:spacing w:line="360" w:lineRule="auto"/>
        <w:contextualSpacing/>
        <w:rPr>
          <w:rFonts w:hint="eastAsia" w:ascii="宋体" w:hAnsi="宋体" w:eastAsia="宋体" w:cs="宋体"/>
          <w:color w:val="auto"/>
          <w:sz w:val="24"/>
          <w:szCs w:val="28"/>
        </w:rPr>
      </w:pPr>
      <w:r>
        <w:rPr>
          <w:rFonts w:hint="eastAsia" w:ascii="宋体" w:hAnsi="宋体" w:eastAsia="宋体" w:cs="宋体"/>
          <w:color w:val="auto"/>
          <w:sz w:val="24"/>
          <w:szCs w:val="28"/>
        </w:rPr>
        <w:t>法定代表人（签字或盖章）：         法定代表人（签字或盖章）：　　　　 　</w:t>
      </w:r>
    </w:p>
    <w:p w14:paraId="3D5E6660">
      <w:pPr>
        <w:spacing w:line="360" w:lineRule="auto"/>
        <w:contextualSpacing/>
        <w:rPr>
          <w:rFonts w:hint="eastAsia" w:ascii="宋体" w:hAnsi="宋体" w:eastAsia="宋体" w:cs="宋体"/>
          <w:color w:val="auto"/>
        </w:rPr>
      </w:pPr>
      <w:r>
        <w:rPr>
          <w:rFonts w:hint="eastAsia" w:ascii="宋体" w:hAnsi="宋体" w:eastAsia="宋体" w:cs="宋体"/>
          <w:color w:val="auto"/>
          <w:sz w:val="24"/>
          <w:szCs w:val="28"/>
        </w:rPr>
        <w:t>日期：</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月</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日</w:t>
      </w:r>
      <w:r>
        <w:rPr>
          <w:rFonts w:hint="eastAsia" w:ascii="宋体" w:hAnsi="宋体" w:eastAsia="宋体" w:cs="宋体"/>
          <w:color w:val="auto"/>
        </w:rPr>
        <w:t xml:space="preserve">    </w:t>
      </w:r>
      <w:r>
        <w:rPr>
          <w:rFonts w:hint="eastAsia" w:ascii="宋体" w:hAnsi="宋体" w:eastAsia="宋体" w:cs="宋体"/>
          <w:color w:val="auto"/>
          <w:sz w:val="24"/>
          <w:szCs w:val="28"/>
        </w:rPr>
        <w:t xml:space="preserve">      日期：</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月</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日</w:t>
      </w:r>
      <w:r>
        <w:rPr>
          <w:rFonts w:hint="eastAsia" w:ascii="宋体" w:hAnsi="宋体" w:eastAsia="宋体" w:cs="宋体"/>
          <w:color w:val="auto"/>
        </w:rPr>
        <w:t xml:space="preserve">   </w:t>
      </w:r>
    </w:p>
    <w:p w14:paraId="2C6C600D">
      <w:pPr>
        <w:pStyle w:val="3"/>
        <w:spacing w:line="360" w:lineRule="auto"/>
        <w:jc w:val="center"/>
        <w:rPr>
          <w:rFonts w:hint="eastAsia" w:ascii="宋体" w:hAnsi="宋体" w:eastAsia="宋体" w:cs="宋体"/>
          <w:color w:val="auto"/>
        </w:rPr>
      </w:pPr>
      <w:r>
        <w:rPr>
          <w:rFonts w:hint="eastAsia" w:ascii="宋体" w:hAnsi="宋体" w:eastAsia="宋体" w:cs="宋体"/>
          <w:color w:val="auto"/>
          <w:sz w:val="24"/>
          <w:szCs w:val="24"/>
        </w:rPr>
        <w:br w:type="page" w:clear="all"/>
      </w:r>
      <w:bookmarkEnd w:id="113"/>
      <w:bookmarkEnd w:id="114"/>
      <w:bookmarkEnd w:id="115"/>
      <w:bookmarkStart w:id="630" w:name="_Toc16165"/>
      <w:bookmarkStart w:id="631" w:name="_Toc24829"/>
      <w:bookmarkStart w:id="632" w:name="_Toc6321"/>
      <w:bookmarkStart w:id="633" w:name="_Toc24477"/>
      <w:bookmarkStart w:id="634" w:name="_Toc21787"/>
      <w:bookmarkStart w:id="635" w:name="_Toc25546"/>
      <w:bookmarkStart w:id="636" w:name="_Toc25586"/>
      <w:bookmarkStart w:id="637" w:name="_Toc779"/>
      <w:bookmarkStart w:id="638" w:name="_Toc17822"/>
      <w:bookmarkStart w:id="639" w:name="_Toc25773"/>
      <w:bookmarkStart w:id="640" w:name="_Toc31702"/>
      <w:bookmarkStart w:id="641" w:name="_Toc465856615"/>
      <w:r>
        <w:rPr>
          <w:rFonts w:hint="eastAsia" w:ascii="宋体" w:hAnsi="宋体" w:eastAsia="宋体" w:cs="宋体"/>
          <w:b/>
          <w:bCs/>
          <w:color w:val="auto"/>
          <w:sz w:val="40"/>
          <w:szCs w:val="40"/>
        </w:rPr>
        <w:t>第四章 技术标准和</w:t>
      </w:r>
      <w:r>
        <w:rPr>
          <w:rFonts w:hint="eastAsia" w:ascii="宋体" w:hAnsi="宋体" w:eastAsia="宋体" w:cs="宋体"/>
          <w:b/>
          <w:bCs/>
          <w:color w:val="auto"/>
          <w:sz w:val="40"/>
          <w:szCs w:val="40"/>
          <w:lang w:eastAsia="zh-CN"/>
        </w:rPr>
        <w:t>项目需求</w:t>
      </w:r>
      <w:bookmarkEnd w:id="630"/>
      <w:bookmarkEnd w:id="631"/>
      <w:bookmarkEnd w:id="632"/>
      <w:bookmarkEnd w:id="633"/>
      <w:bookmarkEnd w:id="634"/>
      <w:bookmarkEnd w:id="635"/>
      <w:bookmarkEnd w:id="636"/>
      <w:bookmarkEnd w:id="637"/>
      <w:bookmarkEnd w:id="638"/>
    </w:p>
    <w:p w14:paraId="20941E9C">
      <w:pPr>
        <w:keepNext w:val="0"/>
        <w:keepLines w:val="0"/>
        <w:pageBreakBefore w:val="0"/>
        <w:widowControl w:val="0"/>
        <w:numPr>
          <w:ilvl w:val="0"/>
          <w:numId w:val="0"/>
        </w:numPr>
        <w:spacing w:line="360" w:lineRule="exact"/>
        <w:ind w:firstLine="241"/>
        <w:outlineLvl w:val="1"/>
        <w:rPr>
          <w:rFonts w:hint="eastAsia" w:ascii="宋体" w:hAnsi="宋体" w:eastAsia="宋体" w:cs="宋体"/>
          <w:b/>
          <w:color w:val="auto"/>
          <w:sz w:val="24"/>
        </w:rPr>
      </w:pPr>
      <w:bookmarkStart w:id="642" w:name="_Toc28426"/>
      <w:bookmarkStart w:id="643" w:name="_Toc31426"/>
      <w:bookmarkStart w:id="644" w:name="_Toc12989"/>
      <w:r>
        <w:rPr>
          <w:rFonts w:hint="eastAsia" w:ascii="宋体" w:hAnsi="宋体" w:cs="宋体"/>
          <w:b/>
          <w:color w:val="auto"/>
          <w:sz w:val="24"/>
          <w:lang w:eastAsia="zh-CN"/>
        </w:rPr>
        <w:t>一、</w:t>
      </w:r>
      <w:r>
        <w:rPr>
          <w:rFonts w:hint="eastAsia" w:ascii="宋体" w:hAnsi="宋体" w:eastAsia="宋体" w:cs="宋体"/>
          <w:b/>
          <w:color w:val="auto"/>
          <w:sz w:val="24"/>
        </w:rPr>
        <w:t>说明：</w:t>
      </w:r>
      <w:bookmarkEnd w:id="642"/>
      <w:bookmarkEnd w:id="643"/>
      <w:bookmarkEnd w:id="644"/>
    </w:p>
    <w:p w14:paraId="6246D5AF">
      <w:pPr>
        <w:keepNext w:val="0"/>
        <w:keepLines w:val="0"/>
        <w:pageBreakBefore w:val="0"/>
        <w:widowControl w:val="0"/>
        <w:spacing w:line="36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1、本项目采购方式为</w:t>
      </w:r>
      <w:r>
        <w:rPr>
          <w:rFonts w:hint="eastAsia" w:ascii="宋体" w:hAnsi="宋体" w:eastAsia="宋体" w:cs="宋体"/>
          <w:b/>
          <w:bCs/>
          <w:color w:val="auto"/>
          <w:sz w:val="24"/>
          <w:u w:val="single"/>
        </w:rPr>
        <w:t>竞争性磋商</w:t>
      </w:r>
      <w:r>
        <w:rPr>
          <w:rFonts w:hint="eastAsia" w:ascii="宋体" w:hAnsi="宋体" w:eastAsia="宋体" w:cs="宋体"/>
          <w:color w:val="auto"/>
          <w:sz w:val="24"/>
        </w:rPr>
        <w:t>，项目属性为</w:t>
      </w:r>
      <w:r>
        <w:rPr>
          <w:rFonts w:hint="eastAsia" w:ascii="宋体" w:hAnsi="宋体" w:eastAsia="宋体" w:cs="宋体"/>
          <w:color w:val="auto"/>
          <w:sz w:val="24"/>
          <w:u w:val="single"/>
          <w:lang w:val="en-US" w:eastAsia="zh-CN"/>
        </w:rPr>
        <w:t xml:space="preserve"> </w:t>
      </w:r>
      <w:r>
        <w:rPr>
          <w:rFonts w:hint="eastAsia" w:ascii="宋体" w:hAnsi="宋体" w:eastAsia="宋体" w:cs="宋体"/>
          <w:b/>
          <w:bCs/>
          <w:color w:val="auto"/>
          <w:sz w:val="24"/>
          <w:u w:val="single"/>
        </w:rPr>
        <w:t>工程</w:t>
      </w:r>
      <w:r>
        <w:rPr>
          <w:rFonts w:hint="eastAsia" w:ascii="宋体" w:hAnsi="宋体" w:eastAsia="宋体" w:cs="宋体"/>
          <w:color w:val="auto"/>
          <w:sz w:val="24"/>
        </w:rPr>
        <w:t>。</w:t>
      </w:r>
    </w:p>
    <w:p w14:paraId="3857CF0A">
      <w:pPr>
        <w:keepNext w:val="0"/>
        <w:keepLines w:val="0"/>
        <w:pageBreakBefore w:val="0"/>
        <w:widowControl w:val="0"/>
        <w:spacing w:line="36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2、本项目采购标的对应的中小企业划分标准所属行业为</w:t>
      </w:r>
      <w:r>
        <w:rPr>
          <w:rFonts w:hint="eastAsia" w:ascii="宋体" w:hAnsi="宋体" w:eastAsia="宋体" w:cs="宋体"/>
          <w:color w:val="auto"/>
          <w:sz w:val="24"/>
          <w:highlight w:val="none"/>
          <w:u w:val="single"/>
        </w:rPr>
        <w:t>　建筑业　</w:t>
      </w:r>
      <w:r>
        <w:rPr>
          <w:rFonts w:hint="eastAsia" w:ascii="宋体" w:hAnsi="宋体" w:eastAsia="宋体" w:cs="宋体"/>
          <w:color w:val="auto"/>
          <w:sz w:val="24"/>
          <w:highlight w:val="none"/>
        </w:rPr>
        <w:t>。</w:t>
      </w:r>
    </w:p>
    <w:p w14:paraId="555B52C9">
      <w:pPr>
        <w:keepNext w:val="0"/>
        <w:keepLines w:val="0"/>
        <w:pageBreakBefore w:val="0"/>
        <w:widowControl w:val="0"/>
        <w:numPr>
          <w:ilvl w:val="0"/>
          <w:numId w:val="0"/>
        </w:numPr>
        <w:spacing w:line="360" w:lineRule="exact"/>
        <w:ind w:firstLine="241"/>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二、</w:t>
      </w:r>
      <w:r>
        <w:rPr>
          <w:rFonts w:hint="eastAsia" w:ascii="宋体" w:hAnsi="宋体" w:eastAsia="宋体" w:cs="宋体"/>
          <w:b/>
          <w:bCs/>
          <w:color w:val="auto"/>
          <w:sz w:val="24"/>
          <w:highlight w:val="none"/>
        </w:rPr>
        <w:t>技术标准和要求</w:t>
      </w: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b/>
          <w:bCs/>
          <w:color w:val="auto"/>
          <w:sz w:val="24"/>
          <w:highlight w:val="none"/>
        </w:rPr>
        <w:fldChar w:fldCharType="separate"/>
      </w:r>
      <w:r>
        <w:rPr>
          <w:rFonts w:hint="eastAsia" w:ascii="宋体" w:hAnsi="宋体" w:eastAsia="宋体" w:cs="宋体"/>
          <w:b/>
          <w:bCs/>
          <w:color w:val="auto"/>
          <w:sz w:val="24"/>
          <w:highlight w:val="none"/>
        </w:rPr>
        <w:t>详见本工程施工图说明以及国家有关的工程建设标准强制性条文。</w:t>
      </w:r>
      <w:r>
        <w:rPr>
          <w:rFonts w:hint="eastAsia" w:ascii="宋体" w:hAnsi="宋体" w:eastAsia="宋体" w:cs="宋体"/>
          <w:b/>
          <w:bCs/>
          <w:color w:val="auto"/>
          <w:sz w:val="24"/>
          <w:highlight w:val="none"/>
        </w:rPr>
        <w:fldChar w:fldCharType="end"/>
      </w:r>
    </w:p>
    <w:p w14:paraId="180DE71B">
      <w:pPr>
        <w:keepNext w:val="0"/>
        <w:keepLines w:val="0"/>
        <w:pageBreakBefore w:val="0"/>
        <w:widowControl w:val="0"/>
        <w:numPr>
          <w:ilvl w:val="0"/>
          <w:numId w:val="0"/>
        </w:numPr>
        <w:spacing w:line="360" w:lineRule="exact"/>
        <w:ind w:firstLine="241"/>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highlight w:val="none"/>
          <w:lang w:eastAsia="zh-CN"/>
        </w:rPr>
        <w:t>三、</w:t>
      </w:r>
      <w:r>
        <w:rPr>
          <w:rFonts w:hint="eastAsia" w:ascii="宋体" w:hAnsi="宋体" w:eastAsia="宋体" w:cs="宋体"/>
          <w:b/>
          <w:bCs/>
          <w:color w:val="auto"/>
          <w:sz w:val="24"/>
          <w:highlight w:val="none"/>
          <w:lang w:val="en-US" w:eastAsia="zh-CN"/>
        </w:rPr>
        <w:t>双方根据国家有关规定，结合具体工程约定质量保修期如下：</w:t>
      </w:r>
    </w:p>
    <w:p w14:paraId="63BBD7CD">
      <w:pPr>
        <w:pStyle w:val="38"/>
        <w:keepNext w:val="0"/>
        <w:keepLines w:val="0"/>
        <w:pageBreakBefore w:val="0"/>
        <w:widowControl w:val="0"/>
        <w:spacing w:line="360" w:lineRule="exact"/>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1、</w:t>
      </w:r>
      <w:r>
        <w:rPr>
          <w:rFonts w:hint="eastAsia" w:ascii="宋体" w:eastAsia="宋体" w:cs="宋体"/>
          <w:bCs/>
          <w:color w:val="auto"/>
          <w:highlight w:val="none"/>
          <w:lang w:val="en-US" w:eastAsia="zh-CN"/>
        </w:rPr>
        <w:t>装修工</w:t>
      </w:r>
      <w:r>
        <w:rPr>
          <w:rFonts w:hint="eastAsia" w:ascii="宋体" w:hAnsi="宋体" w:eastAsia="宋体" w:cs="宋体"/>
          <w:bCs/>
          <w:color w:val="auto"/>
          <w:highlight w:val="none"/>
        </w:rPr>
        <w:t>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年，屋面防水工程为</w:t>
      </w:r>
      <w:r>
        <w:rPr>
          <w:rFonts w:hint="eastAsia" w:ascii="宋体" w:hAnsi="宋体" w:eastAsia="宋体" w:cs="宋体"/>
          <w:bCs/>
          <w:color w:val="auto"/>
          <w:highlight w:val="none"/>
          <w:u w:val="single"/>
        </w:rPr>
        <w:t xml:space="preserve">   5  </w:t>
      </w:r>
      <w:r>
        <w:rPr>
          <w:rFonts w:hint="eastAsia" w:ascii="宋体" w:hAnsi="宋体" w:eastAsia="宋体" w:cs="宋体"/>
          <w:bCs/>
          <w:color w:val="auto"/>
          <w:highlight w:val="none"/>
        </w:rPr>
        <w:t>年；</w:t>
      </w:r>
    </w:p>
    <w:p w14:paraId="567BCB43">
      <w:pPr>
        <w:pStyle w:val="38"/>
        <w:keepNext w:val="0"/>
        <w:keepLines w:val="0"/>
        <w:pageBreakBefore w:val="0"/>
        <w:widowControl w:val="0"/>
        <w:spacing w:line="360" w:lineRule="exact"/>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2、电气管线、上下水管线安装工程为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年；</w:t>
      </w:r>
    </w:p>
    <w:p w14:paraId="6DBD9FA7">
      <w:pPr>
        <w:pStyle w:val="38"/>
        <w:keepNext w:val="0"/>
        <w:keepLines w:val="0"/>
        <w:pageBreakBefore w:val="0"/>
        <w:widowControl w:val="0"/>
        <w:spacing w:line="360" w:lineRule="exact"/>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3、供热及供冷为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个采暖期及供冷期；</w:t>
      </w:r>
    </w:p>
    <w:p w14:paraId="613C9A19">
      <w:pPr>
        <w:pStyle w:val="38"/>
        <w:keepNext w:val="0"/>
        <w:keepLines w:val="0"/>
        <w:pageBreakBefore w:val="0"/>
        <w:widowControl w:val="0"/>
        <w:spacing w:line="360" w:lineRule="exact"/>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4、室外的上下水和小区道路等市政公用工程为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年；</w:t>
      </w:r>
    </w:p>
    <w:p w14:paraId="0AEAAFA6">
      <w:pPr>
        <w:pStyle w:val="38"/>
        <w:keepNext w:val="0"/>
        <w:keepLines w:val="0"/>
        <w:pageBreakBefore w:val="0"/>
        <w:widowControl w:val="0"/>
        <w:spacing w:line="360" w:lineRule="exact"/>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5、其他约定：</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w:t>
      </w:r>
    </w:p>
    <w:p w14:paraId="359E4947">
      <w:pPr>
        <w:keepNext w:val="0"/>
        <w:keepLines w:val="0"/>
        <w:pageBreakBefore w:val="0"/>
        <w:widowControl w:val="0"/>
        <w:spacing w:line="360" w:lineRule="exact"/>
        <w:rPr>
          <w:rFonts w:hint="eastAsia"/>
          <w:lang w:eastAsia="zh-CN"/>
        </w:rPr>
      </w:pPr>
      <w:r>
        <w:rPr>
          <w:rFonts w:hint="eastAsia" w:ascii="宋体" w:hAnsi="宋体" w:eastAsia="宋体" w:cs="宋体"/>
          <w:color w:val="auto"/>
          <w:sz w:val="24"/>
          <w:szCs w:val="24"/>
        </w:rPr>
        <w:t>质量保修期自工程竣工验收合格之日起计算。</w:t>
      </w:r>
      <w:r>
        <w:rPr>
          <w:rFonts w:hint="eastAsia" w:ascii="宋体" w:hAnsi="宋体" w:eastAsia="宋体" w:cs="宋体"/>
          <w:bCs/>
          <w:color w:val="auto"/>
        </w:rPr>
        <w:t xml:space="preserve">   </w:t>
      </w:r>
    </w:p>
    <w:p w14:paraId="2E6933B9">
      <w:pPr>
        <w:keepNext w:val="0"/>
        <w:keepLines w:val="0"/>
        <w:pageBreakBefore w:val="0"/>
        <w:widowControl w:val="0"/>
        <w:numPr>
          <w:ilvl w:val="0"/>
          <w:numId w:val="0"/>
        </w:numPr>
        <w:spacing w:line="360" w:lineRule="exact"/>
        <w:ind w:firstLine="241"/>
        <w:rPr>
          <w:rFonts w:hint="eastAsia" w:ascii="宋体" w:hAnsi="宋体" w:eastAsia="宋体" w:cs="宋体"/>
          <w:b/>
          <w:bCs/>
          <w:color w:val="auto"/>
          <w:sz w:val="24"/>
          <w:highlight w:val="none"/>
          <w:lang w:val="en-US" w:eastAsia="zh-CN"/>
        </w:rPr>
      </w:pPr>
      <w:bookmarkStart w:id="645" w:name="_Toc7417"/>
      <w:bookmarkStart w:id="646" w:name="_Toc29935"/>
      <w:bookmarkStart w:id="647" w:name="_Toc10393"/>
      <w:r>
        <w:rPr>
          <w:rFonts w:hint="eastAsia" w:ascii="宋体" w:hAnsi="宋体" w:eastAsia="宋体" w:cs="宋体"/>
          <w:b/>
          <w:bCs/>
          <w:color w:val="auto"/>
          <w:sz w:val="24"/>
          <w:highlight w:val="none"/>
          <w:lang w:val="en-US" w:eastAsia="zh-CN"/>
        </w:rPr>
        <w:t>四、工程建设标准及技术规范</w:t>
      </w:r>
      <w:bookmarkEnd w:id="645"/>
      <w:bookmarkEnd w:id="646"/>
      <w:bookmarkEnd w:id="647"/>
    </w:p>
    <w:p w14:paraId="6D7AE25D">
      <w:pPr>
        <w:keepNext w:val="0"/>
        <w:keepLines w:val="0"/>
        <w:pageBreakBefore w:val="0"/>
        <w:widowControl w:val="0"/>
        <w:spacing w:line="3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最高投标限价编制说明</w:t>
      </w:r>
    </w:p>
    <w:p w14:paraId="74D1A2FE">
      <w:pPr>
        <w:keepNext w:val="0"/>
        <w:keepLines w:val="0"/>
        <w:pageBreakBefore w:val="0"/>
        <w:widowControl w:val="0"/>
        <w:spacing w:line="360" w:lineRule="exact"/>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工程概况</w:t>
      </w:r>
    </w:p>
    <w:p w14:paraId="1C206F44">
      <w:pPr>
        <w:keepNext w:val="0"/>
        <w:keepLines w:val="0"/>
        <w:pageBreakBefore w:val="0"/>
        <w:widowControl w:val="0"/>
        <w:spacing w:line="3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工程名称：连云港开放大学图书馆外墙翻新维修。建设地点：连云港开放大学校内。建设单位：连云港开放大学。连云港开放大学拟对校园内图书馆外墙面进行改造升级，主要内容为新做外墙面真石漆和外墙仿石材墙板。</w:t>
      </w:r>
    </w:p>
    <w:p w14:paraId="73FC436C">
      <w:pPr>
        <w:keepNext w:val="0"/>
        <w:keepLines w:val="0"/>
        <w:pageBreakBefore w:val="0"/>
        <w:widowControl w:val="0"/>
        <w:spacing w:line="360" w:lineRule="exact"/>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编制依据</w:t>
      </w:r>
    </w:p>
    <w:p w14:paraId="7BD3EEF0">
      <w:pPr>
        <w:keepNext w:val="0"/>
        <w:keepLines w:val="0"/>
        <w:pageBreakBefore w:val="0"/>
        <w:widowControl w:val="0"/>
        <w:spacing w:line="3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1、根据建设单位提供的招标图纸《开放大学图书馆立面》以及现场勘查记录。</w:t>
      </w:r>
    </w:p>
    <w:p w14:paraId="216081EF">
      <w:pPr>
        <w:keepNext w:val="0"/>
        <w:keepLines w:val="0"/>
        <w:pageBreakBefore w:val="0"/>
        <w:widowControl w:val="0"/>
        <w:spacing w:line="3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2、中华人民共和国建设部《建设工程工程量清单计价标准》（GB/T 50500—2024）。</w:t>
      </w:r>
    </w:p>
    <w:p w14:paraId="2CBE204E">
      <w:pPr>
        <w:keepNext w:val="0"/>
        <w:keepLines w:val="0"/>
        <w:pageBreakBefore w:val="0"/>
        <w:widowControl w:val="0"/>
        <w:spacing w:line="3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3、《江苏省建筑与装饰工程消耗量》（2026年）。</w:t>
      </w:r>
    </w:p>
    <w:p w14:paraId="317CFFCC">
      <w:pPr>
        <w:keepNext w:val="0"/>
        <w:keepLines w:val="0"/>
        <w:pageBreakBefore w:val="0"/>
        <w:widowControl w:val="0"/>
        <w:spacing w:line="3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4、《江苏省建设工程费用参考》（2026）及营改增相关政策文件精神。</w:t>
      </w:r>
    </w:p>
    <w:p w14:paraId="039F31B9">
      <w:pPr>
        <w:keepNext w:val="0"/>
        <w:keepLines w:val="0"/>
        <w:pageBreakBefore w:val="0"/>
        <w:widowControl w:val="0"/>
        <w:spacing w:line="3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5、苏建函价〔2025〕2号省住房城乡建设厅关于调整建设工程计价增值税税率的通知。</w:t>
      </w:r>
    </w:p>
    <w:p w14:paraId="3FD182B8">
      <w:pPr>
        <w:keepNext w:val="0"/>
        <w:keepLines w:val="0"/>
        <w:pageBreakBefore w:val="0"/>
        <w:widowControl w:val="0"/>
        <w:spacing w:line="3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6、人工费参考《江苏省建筑与装饰工程消耗量》（2026年）、《江苏省建设工程费用参考》（2026）。</w:t>
      </w:r>
    </w:p>
    <w:p w14:paraId="263F2663">
      <w:pPr>
        <w:keepNext w:val="0"/>
        <w:keepLines w:val="0"/>
        <w:pageBreakBefore w:val="0"/>
        <w:widowControl w:val="0"/>
        <w:spacing w:line="3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7、材料价格参考同期市场询价以及《连云港建设工程经济》2026年第5期。</w:t>
      </w:r>
    </w:p>
    <w:p w14:paraId="1F3C4BC7">
      <w:pPr>
        <w:keepNext w:val="0"/>
        <w:keepLines w:val="0"/>
        <w:pageBreakBefore w:val="0"/>
        <w:widowControl w:val="0"/>
        <w:spacing w:line="3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8、国家及江苏省、连云港市等关于招投标方面现行的相关法律、法规文件。</w:t>
      </w:r>
    </w:p>
    <w:p w14:paraId="7F517882">
      <w:pPr>
        <w:keepNext w:val="0"/>
        <w:keepLines w:val="0"/>
        <w:pageBreakBefore w:val="0"/>
        <w:widowControl w:val="0"/>
        <w:spacing w:line="360" w:lineRule="exact"/>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编制范围</w:t>
      </w:r>
    </w:p>
    <w:p w14:paraId="07248D9E">
      <w:pPr>
        <w:keepNext w:val="0"/>
        <w:keepLines w:val="0"/>
        <w:pageBreakBefore w:val="0"/>
        <w:widowControl w:val="0"/>
        <w:spacing w:line="3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1、图书馆外墙翻新包括：新做真石漆墙面以及墙面仿石材装饰单板。</w:t>
      </w:r>
    </w:p>
    <w:p w14:paraId="63C67FF7">
      <w:pPr>
        <w:keepNext w:val="0"/>
        <w:keepLines w:val="0"/>
        <w:pageBreakBefore w:val="0"/>
        <w:widowControl w:val="0"/>
        <w:spacing w:line="3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2、梁加固工程包括：局部梁装饰面拆除、凿毛、植筋加固、恢复原貌。</w:t>
      </w:r>
    </w:p>
    <w:p w14:paraId="1E9F3AB6">
      <w:pPr>
        <w:keepNext w:val="0"/>
        <w:keepLines w:val="0"/>
        <w:pageBreakBefore w:val="0"/>
        <w:widowControl w:val="0"/>
        <w:spacing w:line="3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3、具体详见招标图纸及招标清单。</w:t>
      </w:r>
    </w:p>
    <w:p w14:paraId="58CC456C">
      <w:pPr>
        <w:keepNext w:val="0"/>
        <w:keepLines w:val="0"/>
        <w:pageBreakBefore w:val="0"/>
        <w:widowControl w:val="0"/>
        <w:spacing w:line="360" w:lineRule="exact"/>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 xml:space="preserve">其他说明  </w:t>
      </w:r>
    </w:p>
    <w:p w14:paraId="035BA14E">
      <w:pPr>
        <w:keepNext w:val="0"/>
        <w:keepLines w:val="0"/>
        <w:pageBreakBefore w:val="0"/>
        <w:widowControl w:val="0"/>
        <w:spacing w:line="360" w:lineRule="exact"/>
        <w:ind w:firstLine="480"/>
        <w:rPr>
          <w:rFonts w:hint="eastAsia" w:ascii="宋体" w:hAnsi="宋体" w:eastAsia="宋体" w:cs="宋体"/>
          <w:color w:val="auto"/>
          <w:sz w:val="24"/>
        </w:rPr>
      </w:pPr>
      <w:r>
        <w:rPr>
          <w:rFonts w:hint="eastAsia" w:ascii="宋体" w:hAnsi="宋体" w:eastAsia="宋体" w:cs="宋体"/>
          <w:color w:val="auto"/>
          <w:sz w:val="24"/>
          <w:highlight w:val="none"/>
        </w:rPr>
        <w:t>1、本次最高投标限价编制中，措施费中安全生产费按《江苏省建设工程费用参考》(2026)下限计取。</w:t>
      </w:r>
    </w:p>
    <w:p w14:paraId="090F80C3">
      <w:pPr>
        <w:keepNext w:val="0"/>
        <w:keepLines w:val="0"/>
        <w:pageBreakBefore w:val="0"/>
        <w:widowControl w:val="0"/>
        <w:numPr>
          <w:ilvl w:val="0"/>
          <w:numId w:val="0"/>
        </w:numPr>
        <w:spacing w:line="360" w:lineRule="exact"/>
        <w:ind w:firstLine="241"/>
        <w:rPr>
          <w:rFonts w:hint="eastAsia" w:ascii="宋体" w:hAnsi="宋体" w:eastAsia="宋体" w:cs="宋体"/>
          <w:b/>
          <w:bCs/>
          <w:color w:val="auto"/>
          <w:sz w:val="24"/>
          <w:highlight w:val="none"/>
          <w:lang w:val="en-US" w:eastAsia="zh-CN"/>
        </w:rPr>
      </w:pPr>
      <w:r>
        <w:rPr>
          <w:rFonts w:hint="eastAsia" w:ascii="宋体" w:hAnsi="宋体" w:cs="宋体"/>
          <w:color w:val="auto"/>
        </w:rPr>
        <w:t>★</w:t>
      </w:r>
      <w:r>
        <w:rPr>
          <w:rFonts w:hint="eastAsia" w:ascii="宋体" w:hAnsi="宋体" w:eastAsia="宋体" w:cs="宋体"/>
          <w:b/>
          <w:bCs/>
          <w:color w:val="auto"/>
          <w:sz w:val="24"/>
          <w:highlight w:val="none"/>
          <w:lang w:val="en-US" w:eastAsia="zh-CN"/>
        </w:rPr>
        <w:t>五、付款方式及履约保证金</w:t>
      </w:r>
    </w:p>
    <w:p w14:paraId="10E69D9A">
      <w:pPr>
        <w:keepNext w:val="0"/>
        <w:keepLines w:val="0"/>
        <w:pageBreakBefore w:val="0"/>
        <w:widowControl w:val="0"/>
        <w:spacing w:line="360" w:lineRule="exact"/>
        <w:ind w:firstLine="480"/>
        <w:rPr>
          <w:rFonts w:hint="eastAsia" w:ascii="宋体" w:hAnsi="宋体" w:cs="宋体"/>
          <w:b/>
          <w:bCs/>
          <w:color w:val="auto"/>
          <w:sz w:val="24"/>
          <w:u w:val="single"/>
          <w:lang w:val="en-US" w:eastAsia="zh-CN"/>
        </w:rPr>
      </w:pPr>
      <w:r>
        <w:rPr>
          <w:rFonts w:hint="eastAsia" w:ascii="宋体" w:hAnsi="宋体" w:cs="宋体"/>
          <w:color w:val="auto"/>
          <w:sz w:val="24"/>
          <w:lang w:val="en-US" w:eastAsia="zh-CN"/>
        </w:rPr>
        <w:t>（1）</w:t>
      </w:r>
      <w:r>
        <w:rPr>
          <w:rFonts w:hint="eastAsia" w:ascii="宋体" w:hAnsi="宋体" w:cs="宋体"/>
          <w:b/>
          <w:bCs/>
          <w:color w:val="auto"/>
          <w:sz w:val="24"/>
          <w:szCs w:val="24"/>
          <w:highlight w:val="none"/>
          <w:u w:val="single"/>
          <w:lang w:val="en-US" w:eastAsia="zh-CN" w:bidi="ar-SA"/>
        </w:rPr>
        <w:t>合同签订后付合同价的10%作为预付款，工程竣工验收合格后付至合同价款的70%:经审计完成后付至工程审定价的 100%，在甲方支付前，施工单位须支付审定价的3%作为质保金，在质量缺陷责任期满后无质量问题无息退还。</w:t>
      </w:r>
    </w:p>
    <w:p w14:paraId="4F53C88E">
      <w:pPr>
        <w:keepNext w:val="0"/>
        <w:keepLines w:val="0"/>
        <w:pageBreakBefore w:val="0"/>
        <w:widowControl w:val="0"/>
        <w:spacing w:line="3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（2）每次支付工程款时，承包人必须提供符合税法的等额正规发票，否则延迟付款的责任由承包人自行承担。发包人收到发票后，将资金支付到约定的承包人账户。</w:t>
      </w:r>
    </w:p>
    <w:p w14:paraId="303A39D2">
      <w:pPr>
        <w:keepNext w:val="0"/>
        <w:keepLines w:val="0"/>
        <w:pageBreakBefore w:val="0"/>
        <w:widowControl w:val="0"/>
        <w:numPr>
          <w:ilvl w:val="0"/>
          <w:numId w:val="0"/>
        </w:numPr>
        <w:spacing w:line="460" w:lineRule="exact"/>
        <w:ind w:left="480" w:leftChars="0"/>
        <w:rPr>
          <w:rFonts w:hint="eastAsia" w:ascii="宋体" w:hAnsi="宋体" w:eastAsia="宋体" w:cs="宋体"/>
          <w:b/>
          <w:bCs/>
          <w:color w:val="0000FF"/>
          <w:sz w:val="24"/>
          <w:highlight w:val="none"/>
          <w:lang w:eastAsia="zh-CN"/>
        </w:rPr>
      </w:pPr>
      <w:r>
        <w:rPr>
          <w:rFonts w:hint="eastAsia" w:ascii="宋体" w:hAnsi="宋体" w:cs="宋体"/>
          <w:b/>
          <w:bCs/>
          <w:color w:val="0000FF"/>
          <w:highlight w:val="none"/>
          <w:u w:val="single"/>
          <w:lang w:eastAsia="zh-CN"/>
        </w:rPr>
        <w:t>（</w:t>
      </w:r>
      <w:r>
        <w:rPr>
          <w:rFonts w:hint="eastAsia" w:ascii="宋体" w:hAnsi="宋体" w:cs="宋体"/>
          <w:b/>
          <w:bCs/>
          <w:color w:val="0000FF"/>
          <w:highlight w:val="none"/>
          <w:u w:val="single"/>
          <w:lang w:val="en-US" w:eastAsia="zh-CN"/>
        </w:rPr>
        <w:t>3</w:t>
      </w:r>
      <w:r>
        <w:rPr>
          <w:rFonts w:hint="eastAsia" w:ascii="宋体" w:hAnsi="宋体" w:cs="宋体"/>
          <w:b/>
          <w:bCs/>
          <w:color w:val="0000FF"/>
          <w:highlight w:val="none"/>
          <w:u w:val="single"/>
          <w:lang w:eastAsia="zh-CN"/>
        </w:rPr>
        <w:t>）</w:t>
      </w:r>
      <w:r>
        <w:rPr>
          <w:rFonts w:hint="eastAsia" w:ascii="宋体" w:hAnsi="宋体" w:cs="宋体"/>
          <w:b/>
          <w:bCs/>
          <w:color w:val="0000FF"/>
          <w:highlight w:val="none"/>
          <w:u w:val="single"/>
        </w:rPr>
        <w:t>审计核减额不超5%部分由甲方支付审计费用，超出部分由承包人直接向审计单位支付。</w:t>
      </w:r>
    </w:p>
    <w:p w14:paraId="3CFB9BE4">
      <w:pPr>
        <w:keepNext w:val="0"/>
        <w:keepLines w:val="0"/>
        <w:pageBreakBefore w:val="0"/>
        <w:widowControl w:val="0"/>
        <w:spacing w:line="360" w:lineRule="exact"/>
        <w:ind w:firstLine="480" w:firstLineChars="200"/>
        <w:rPr>
          <w:rFonts w:hint="eastAsia" w:ascii="宋体" w:hAnsi="宋体" w:cs="宋体"/>
          <w:color w:val="auto"/>
          <w:sz w:val="24"/>
          <w:lang w:val="en-US" w:eastAsia="zh-CN"/>
        </w:rPr>
      </w:pPr>
      <w:r>
        <w:rPr>
          <w:rFonts w:hint="eastAsia" w:ascii="宋体" w:hAnsi="宋体" w:cs="宋体"/>
          <w:color w:val="auto"/>
          <w:sz w:val="24"/>
          <w:lang w:val="en-US" w:eastAsia="zh-CN"/>
        </w:rPr>
        <w:t>（4）本项目不收取履约保证金。</w:t>
      </w:r>
    </w:p>
    <w:p w14:paraId="69671B1B">
      <w:pPr>
        <w:keepNext w:val="0"/>
        <w:keepLines w:val="0"/>
        <w:pageBreakBefore w:val="0"/>
        <w:widowControl w:val="0"/>
        <w:numPr>
          <w:ilvl w:val="0"/>
          <w:numId w:val="0"/>
        </w:numPr>
        <w:spacing w:line="360" w:lineRule="exact"/>
        <w:ind w:firstLine="241"/>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六</w:t>
      </w:r>
      <w:r>
        <w:rPr>
          <w:rFonts w:hint="eastAsia" w:ascii="宋体" w:hAnsi="宋体" w:cs="宋体"/>
          <w:b/>
          <w:bCs/>
          <w:color w:val="auto"/>
          <w:sz w:val="24"/>
          <w:highlight w:val="none"/>
          <w:lang w:val="en-US" w:eastAsia="zh-CN"/>
        </w:rPr>
        <w:t>、</w:t>
      </w:r>
      <w:r>
        <w:rPr>
          <w:rFonts w:hint="eastAsia" w:ascii="宋体" w:hAnsi="宋体" w:eastAsia="宋体" w:cs="宋体"/>
          <w:b/>
          <w:bCs/>
          <w:color w:val="auto"/>
          <w:sz w:val="24"/>
          <w:highlight w:val="none"/>
          <w:lang w:val="en-US" w:eastAsia="zh-CN"/>
        </w:rPr>
        <w:t>真石漆</w:t>
      </w:r>
      <w:r>
        <w:rPr>
          <w:rFonts w:hint="eastAsia" w:ascii="宋体" w:hAnsi="宋体" w:cs="宋体"/>
          <w:b/>
          <w:bCs/>
          <w:color w:val="auto"/>
          <w:sz w:val="24"/>
          <w:highlight w:val="none"/>
          <w:lang w:val="en-US" w:eastAsia="zh-CN"/>
        </w:rPr>
        <w:t>参考</w:t>
      </w:r>
      <w:r>
        <w:rPr>
          <w:rFonts w:hint="eastAsia" w:ascii="宋体" w:hAnsi="宋体" w:eastAsia="宋体" w:cs="宋体"/>
          <w:b/>
          <w:bCs/>
          <w:color w:val="auto"/>
          <w:sz w:val="24"/>
          <w:highlight w:val="none"/>
          <w:lang w:val="en-US" w:eastAsia="zh-CN"/>
        </w:rPr>
        <w:t>品牌推荐</w:t>
      </w:r>
    </w:p>
    <w:p w14:paraId="3C8D2373">
      <w:pPr>
        <w:keepNext w:val="0"/>
        <w:keepLines w:val="0"/>
        <w:pageBreakBefore w:val="0"/>
        <w:widowControl w:val="0"/>
        <w:spacing w:line="3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为保障本政府采购项目外墙装饰耐久性、环保性与后期维保便利性，综合行业市场占有率、绿色认证、公建项目落地案例、全国供货及售后配套能力，现推荐3款行业一线工程真石漆参考品牌，分别为</w:t>
      </w:r>
      <w:r>
        <w:rPr>
          <w:rFonts w:hint="eastAsia" w:ascii="宋体" w:hAnsi="宋体" w:cs="宋体"/>
          <w:b/>
          <w:bCs/>
          <w:color w:val="auto"/>
          <w:sz w:val="24"/>
          <w:lang w:val="en-US" w:eastAsia="zh-CN"/>
        </w:rPr>
        <w:t>三棵树、立邦、嘉宝莉</w:t>
      </w:r>
      <w:r>
        <w:rPr>
          <w:rFonts w:hint="eastAsia" w:ascii="宋体" w:hAnsi="宋体" w:cs="宋体"/>
          <w:color w:val="auto"/>
          <w:sz w:val="24"/>
          <w:lang w:val="en-US" w:eastAsia="zh-CN"/>
        </w:rPr>
        <w:t>，推荐理由如下：</w:t>
      </w:r>
    </w:p>
    <w:p w14:paraId="386EC2E1">
      <w:pPr>
        <w:keepNext w:val="0"/>
        <w:keepLines w:val="0"/>
        <w:pageBreakBefore w:val="0"/>
        <w:widowControl w:val="0"/>
        <w:spacing w:line="3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1.三棵树：国内上市涂料龙头，纳入国家绿色建材采信库，具备十环、ISO三体系认证，真石漆耐候抗裂、低VOC环保，大量学校、政务楼、安置房政府采购工程案例，全国服务网点完善，可提供长期外墙质保。</w:t>
      </w:r>
    </w:p>
    <w:p w14:paraId="560E480D">
      <w:pPr>
        <w:keepNext w:val="0"/>
        <w:keepLines w:val="0"/>
        <w:pageBreakBefore w:val="0"/>
        <w:widowControl w:val="0"/>
        <w:spacing w:line="3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2.立邦：工程涂料知名品牌，参编外墙涂料行业标准，产品防水自洁、保色性强，色差管控稳定，检测资料齐全，适配各类公建大面积外墙项目，供货保障能力充足。</w:t>
      </w:r>
    </w:p>
    <w:p w14:paraId="000FB17D">
      <w:pPr>
        <w:keepNext w:val="0"/>
        <w:keepLines w:val="0"/>
        <w:pageBreakBefore w:val="0"/>
        <w:widowControl w:val="0"/>
        <w:spacing w:line="3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3.嘉宝莉：高新技术企业，一体化真石漆涂装配套体系成熟，耐盐雾、适配南北气候，深耕老旧小区改造、校园、市政类财政项目，综合性价比高，本地化售后响应及时。</w:t>
      </w:r>
    </w:p>
    <w:p w14:paraId="7DDAE9C1">
      <w:pPr>
        <w:keepNext w:val="0"/>
        <w:keepLines w:val="0"/>
        <w:pageBreakBefore w:val="0"/>
        <w:widowControl w:val="0"/>
        <w:spacing w:line="360" w:lineRule="exact"/>
        <w:ind w:firstLine="480"/>
        <w:rPr>
          <w:rFonts w:hint="default" w:ascii="宋体" w:hAnsi="宋体" w:cs="宋体"/>
          <w:b/>
          <w:bCs/>
          <w:color w:val="auto"/>
          <w:sz w:val="24"/>
          <w:lang w:val="en-US" w:eastAsia="zh-CN"/>
        </w:rPr>
      </w:pPr>
      <w:r>
        <w:rPr>
          <w:rFonts w:hint="eastAsia" w:ascii="宋体" w:hAnsi="宋体" w:cs="宋体"/>
          <w:b/>
          <w:bCs/>
          <w:color w:val="auto"/>
        </w:rPr>
        <w:t>★</w:t>
      </w:r>
      <w:r>
        <w:rPr>
          <w:rFonts w:hint="eastAsia" w:ascii="宋体" w:hAnsi="宋体" w:cs="宋体"/>
          <w:b/>
          <w:bCs/>
          <w:color w:val="auto"/>
          <w:sz w:val="24"/>
          <w:lang w:val="en-US" w:eastAsia="zh-CN"/>
        </w:rPr>
        <w:t>投标人可选用上述品牌或同等档次及以上其他品牌产品投标，所投产品各项技术性能不得低于推荐品牌标准（提供投标人品牌承诺书）。</w:t>
      </w:r>
    </w:p>
    <w:p w14:paraId="4A85E5CC">
      <w:pPr>
        <w:spacing w:line="360" w:lineRule="auto"/>
        <w:rPr>
          <w:rFonts w:hint="default" w:ascii="宋体" w:hAnsi="宋体" w:cs="宋体"/>
          <w:color w:val="auto"/>
          <w:sz w:val="24"/>
          <w:lang w:val="en-US" w:eastAsia="zh-CN"/>
        </w:rPr>
      </w:pPr>
    </w:p>
    <w:p w14:paraId="67D876FE">
      <w:pPr>
        <w:spacing w:line="360" w:lineRule="auto"/>
        <w:jc w:val="center"/>
        <w:outlineLvl w:val="0"/>
        <w:rPr>
          <w:rFonts w:hint="eastAsia" w:ascii="宋体" w:hAnsi="宋体" w:eastAsia="宋体" w:cs="宋体"/>
          <w:b/>
          <w:bCs/>
          <w:color w:val="auto"/>
          <w:sz w:val="44"/>
          <w:szCs w:val="44"/>
        </w:rPr>
      </w:pPr>
      <w:r>
        <w:rPr>
          <w:rFonts w:hint="eastAsia" w:ascii="宋体" w:hAnsi="宋体" w:eastAsia="宋体" w:cs="宋体"/>
          <w:b/>
          <w:bCs/>
          <w:color w:val="auto"/>
          <w:sz w:val="44"/>
          <w:szCs w:val="44"/>
        </w:rPr>
        <w:br w:type="page" w:clear="all"/>
      </w:r>
      <w:bookmarkStart w:id="648" w:name="_Toc153678434"/>
      <w:bookmarkStart w:id="649" w:name="_Toc142708871"/>
      <w:bookmarkStart w:id="650" w:name="_Toc28113"/>
      <w:bookmarkStart w:id="651" w:name="_Toc28657"/>
      <w:bookmarkStart w:id="652" w:name="_Toc12471"/>
      <w:bookmarkStart w:id="653" w:name="_Toc24242"/>
      <w:bookmarkStart w:id="654" w:name="_Toc515874992"/>
      <w:bookmarkStart w:id="655" w:name="_Toc508"/>
      <w:bookmarkStart w:id="656" w:name="_Toc28603"/>
      <w:bookmarkStart w:id="657" w:name="_Toc224532089"/>
      <w:bookmarkStart w:id="658" w:name="_Toc11922"/>
      <w:bookmarkStart w:id="659" w:name="_Toc7514"/>
      <w:bookmarkStart w:id="660" w:name="_Toc2161"/>
      <w:bookmarkStart w:id="661" w:name="_Toc20724"/>
      <w:bookmarkStart w:id="662" w:name="_Toc204595694"/>
      <w:r>
        <w:rPr>
          <w:rStyle w:val="234"/>
          <w:rFonts w:hint="eastAsia" w:ascii="宋体" w:hAnsi="宋体" w:eastAsia="宋体" w:cs="宋体"/>
          <w:b/>
          <w:bCs/>
          <w:color w:val="auto"/>
          <w:sz w:val="40"/>
          <w:szCs w:val="40"/>
          <w:lang w:val="en-US" w:eastAsia="zh-CN"/>
        </w:rPr>
        <w:t xml:space="preserve">第五章 </w:t>
      </w:r>
      <w:bookmarkEnd w:id="648"/>
      <w:bookmarkEnd w:id="649"/>
      <w:r>
        <w:rPr>
          <w:rStyle w:val="234"/>
          <w:rFonts w:hint="eastAsia" w:ascii="宋体" w:hAnsi="宋体" w:eastAsia="宋体" w:cs="宋体"/>
          <w:b/>
          <w:bCs/>
          <w:color w:val="auto"/>
          <w:sz w:val="40"/>
          <w:szCs w:val="40"/>
          <w:lang w:val="en-US" w:eastAsia="zh-CN"/>
        </w:rPr>
        <w:t>工程量清单</w:t>
      </w:r>
      <w:bookmarkEnd w:id="650"/>
      <w:bookmarkEnd w:id="651"/>
      <w:bookmarkEnd w:id="652"/>
      <w:bookmarkEnd w:id="653"/>
      <w:bookmarkEnd w:id="654"/>
      <w:bookmarkEnd w:id="655"/>
      <w:bookmarkEnd w:id="656"/>
      <w:bookmarkEnd w:id="657"/>
      <w:bookmarkEnd w:id="658"/>
      <w:bookmarkEnd w:id="659"/>
      <w:bookmarkEnd w:id="660"/>
      <w:bookmarkEnd w:id="661"/>
      <w:bookmarkEnd w:id="662"/>
      <w:r>
        <w:rPr>
          <w:rStyle w:val="234"/>
          <w:rFonts w:hint="eastAsia" w:ascii="宋体" w:hAnsi="宋体" w:eastAsia="宋体" w:cs="宋体"/>
          <w:b/>
          <w:bCs/>
          <w:color w:val="auto"/>
          <w:sz w:val="40"/>
          <w:szCs w:val="40"/>
          <w:lang w:val="en-US" w:eastAsia="zh-CN"/>
        </w:rPr>
        <w:t>（另附）</w:t>
      </w:r>
    </w:p>
    <w:p w14:paraId="5F7EFFFF">
      <w:pPr>
        <w:spacing w:line="360" w:lineRule="auto"/>
        <w:rPr>
          <w:rFonts w:hint="eastAsia" w:ascii="宋体" w:hAnsi="宋体" w:eastAsia="宋体" w:cs="宋体"/>
          <w:color w:val="auto"/>
          <w:sz w:val="24"/>
          <w:szCs w:val="32"/>
        </w:rPr>
      </w:pPr>
      <w:bookmarkStart w:id="663" w:name="_Toc9612"/>
      <w:bookmarkStart w:id="664" w:name="_Toc515874993"/>
      <w:bookmarkStart w:id="665" w:name="_Toc204595695"/>
      <w:bookmarkStart w:id="666" w:name="_Toc224532090"/>
    </w:p>
    <w:p w14:paraId="5F9B582E">
      <w:pPr>
        <w:spacing w:line="360" w:lineRule="auto"/>
        <w:rPr>
          <w:rFonts w:hint="eastAsia" w:ascii="宋体" w:hAnsi="宋体" w:eastAsia="宋体" w:cs="宋体"/>
          <w:color w:val="auto"/>
          <w:sz w:val="24"/>
          <w:szCs w:val="32"/>
        </w:rPr>
      </w:pPr>
    </w:p>
    <w:p w14:paraId="768B2B54">
      <w:pPr>
        <w:spacing w:line="360" w:lineRule="auto"/>
        <w:rPr>
          <w:rFonts w:hint="eastAsia" w:ascii="宋体" w:hAnsi="宋体" w:eastAsia="宋体" w:cs="宋体"/>
          <w:color w:val="auto"/>
          <w:sz w:val="24"/>
          <w:szCs w:val="32"/>
        </w:rPr>
      </w:pPr>
    </w:p>
    <w:p w14:paraId="261521D4">
      <w:pPr>
        <w:spacing w:line="360" w:lineRule="auto"/>
        <w:rPr>
          <w:rFonts w:hint="eastAsia" w:ascii="宋体" w:hAnsi="宋体" w:eastAsia="宋体" w:cs="宋体"/>
          <w:color w:val="auto"/>
          <w:sz w:val="24"/>
          <w:szCs w:val="32"/>
        </w:rPr>
      </w:pPr>
    </w:p>
    <w:p w14:paraId="29D9CEDE">
      <w:pPr>
        <w:spacing w:line="360" w:lineRule="auto"/>
        <w:rPr>
          <w:rFonts w:hint="eastAsia" w:ascii="宋体" w:hAnsi="宋体" w:eastAsia="宋体" w:cs="宋体"/>
          <w:color w:val="auto"/>
          <w:sz w:val="24"/>
          <w:szCs w:val="32"/>
        </w:rPr>
      </w:pPr>
    </w:p>
    <w:p w14:paraId="375D4A51">
      <w:pPr>
        <w:spacing w:line="360" w:lineRule="auto"/>
        <w:rPr>
          <w:rFonts w:hint="eastAsia" w:ascii="宋体" w:hAnsi="宋体" w:eastAsia="宋体" w:cs="宋体"/>
          <w:color w:val="auto"/>
          <w:sz w:val="24"/>
          <w:szCs w:val="32"/>
        </w:rPr>
      </w:pPr>
    </w:p>
    <w:p w14:paraId="0D780028">
      <w:pPr>
        <w:spacing w:line="360" w:lineRule="auto"/>
        <w:rPr>
          <w:rFonts w:hint="eastAsia" w:ascii="宋体" w:hAnsi="宋体" w:eastAsia="宋体" w:cs="宋体"/>
          <w:color w:val="auto"/>
          <w:sz w:val="24"/>
          <w:szCs w:val="32"/>
        </w:rPr>
      </w:pPr>
    </w:p>
    <w:p w14:paraId="7B18D039">
      <w:pPr>
        <w:spacing w:line="360" w:lineRule="auto"/>
        <w:rPr>
          <w:rFonts w:hint="eastAsia" w:ascii="宋体" w:hAnsi="宋体" w:eastAsia="宋体" w:cs="宋体"/>
          <w:color w:val="auto"/>
          <w:sz w:val="24"/>
        </w:rPr>
      </w:pPr>
    </w:p>
    <w:p w14:paraId="65AC4529">
      <w:pPr>
        <w:spacing w:line="360" w:lineRule="auto"/>
        <w:rPr>
          <w:rFonts w:hint="eastAsia" w:ascii="宋体" w:hAnsi="宋体" w:eastAsia="宋体" w:cs="宋体"/>
          <w:color w:val="auto"/>
          <w:sz w:val="24"/>
        </w:rPr>
      </w:pPr>
    </w:p>
    <w:p w14:paraId="13600B04">
      <w:pPr>
        <w:spacing w:line="360" w:lineRule="auto"/>
        <w:rPr>
          <w:rFonts w:hint="eastAsia" w:ascii="宋体" w:hAnsi="宋体" w:eastAsia="宋体" w:cs="宋体"/>
          <w:color w:val="auto"/>
          <w:sz w:val="24"/>
        </w:rPr>
      </w:pPr>
    </w:p>
    <w:p w14:paraId="65855FEA">
      <w:pPr>
        <w:spacing w:line="360" w:lineRule="auto"/>
        <w:rPr>
          <w:rFonts w:hint="eastAsia" w:ascii="宋体" w:hAnsi="宋体" w:eastAsia="宋体" w:cs="宋体"/>
          <w:color w:val="auto"/>
          <w:sz w:val="24"/>
          <w:szCs w:val="32"/>
        </w:rPr>
      </w:pPr>
    </w:p>
    <w:p w14:paraId="08EC85CC">
      <w:pPr>
        <w:pStyle w:val="67"/>
        <w:rPr>
          <w:rFonts w:hint="eastAsia" w:ascii="宋体" w:hAnsi="宋体" w:eastAsia="宋体" w:cs="宋体"/>
          <w:color w:val="auto"/>
        </w:rPr>
      </w:pPr>
    </w:p>
    <w:p w14:paraId="50A36A63">
      <w:pPr>
        <w:pStyle w:val="67"/>
        <w:rPr>
          <w:rFonts w:hint="eastAsia" w:ascii="宋体" w:hAnsi="宋体" w:eastAsia="宋体" w:cs="宋体"/>
          <w:color w:val="auto"/>
        </w:rPr>
      </w:pPr>
    </w:p>
    <w:p w14:paraId="48759506">
      <w:pPr>
        <w:pStyle w:val="67"/>
        <w:rPr>
          <w:rFonts w:hint="eastAsia" w:ascii="宋体" w:hAnsi="宋体" w:eastAsia="宋体" w:cs="宋体"/>
          <w:color w:val="auto"/>
        </w:rPr>
      </w:pPr>
    </w:p>
    <w:p w14:paraId="179D4AAB">
      <w:pPr>
        <w:pStyle w:val="67"/>
        <w:rPr>
          <w:rFonts w:hint="eastAsia" w:ascii="宋体" w:hAnsi="宋体" w:eastAsia="宋体" w:cs="宋体"/>
          <w:color w:val="auto"/>
        </w:rPr>
      </w:pPr>
    </w:p>
    <w:p w14:paraId="769151A0">
      <w:pPr>
        <w:pStyle w:val="67"/>
        <w:rPr>
          <w:rFonts w:hint="eastAsia" w:ascii="宋体" w:hAnsi="宋体" w:eastAsia="宋体" w:cs="宋体"/>
          <w:color w:val="auto"/>
        </w:rPr>
      </w:pPr>
    </w:p>
    <w:p w14:paraId="72219F20">
      <w:pPr>
        <w:pStyle w:val="67"/>
        <w:rPr>
          <w:rFonts w:hint="eastAsia" w:ascii="宋体" w:hAnsi="宋体" w:eastAsia="宋体" w:cs="宋体"/>
          <w:color w:val="auto"/>
        </w:rPr>
      </w:pPr>
    </w:p>
    <w:p w14:paraId="6B0BBB7C">
      <w:pPr>
        <w:pStyle w:val="67"/>
        <w:rPr>
          <w:rFonts w:hint="eastAsia" w:ascii="宋体" w:hAnsi="宋体" w:eastAsia="宋体" w:cs="宋体"/>
          <w:color w:val="auto"/>
        </w:rPr>
      </w:pPr>
    </w:p>
    <w:p w14:paraId="0CC46FEB">
      <w:pPr>
        <w:pStyle w:val="67"/>
        <w:rPr>
          <w:rFonts w:hint="eastAsia" w:ascii="宋体" w:hAnsi="宋体" w:eastAsia="宋体" w:cs="宋体"/>
          <w:color w:val="auto"/>
        </w:rPr>
      </w:pPr>
    </w:p>
    <w:p w14:paraId="301E57EC">
      <w:pPr>
        <w:pStyle w:val="67"/>
        <w:rPr>
          <w:rFonts w:hint="eastAsia" w:ascii="宋体" w:hAnsi="宋体" w:eastAsia="宋体" w:cs="宋体"/>
          <w:color w:val="auto"/>
        </w:rPr>
      </w:pPr>
    </w:p>
    <w:p w14:paraId="00039B30">
      <w:pPr>
        <w:pStyle w:val="67"/>
        <w:rPr>
          <w:rFonts w:hint="eastAsia" w:ascii="宋体" w:hAnsi="宋体" w:eastAsia="宋体" w:cs="宋体"/>
          <w:color w:val="auto"/>
        </w:rPr>
      </w:pPr>
    </w:p>
    <w:p w14:paraId="29C6D59B">
      <w:pPr>
        <w:pStyle w:val="67"/>
        <w:rPr>
          <w:rFonts w:hint="eastAsia" w:ascii="宋体" w:hAnsi="宋体" w:eastAsia="宋体" w:cs="宋体"/>
          <w:color w:val="auto"/>
        </w:rPr>
      </w:pPr>
    </w:p>
    <w:p w14:paraId="4C86E9F9">
      <w:pPr>
        <w:pStyle w:val="67"/>
        <w:rPr>
          <w:rFonts w:hint="eastAsia" w:ascii="宋体" w:hAnsi="宋体" w:eastAsia="宋体" w:cs="宋体"/>
          <w:color w:val="auto"/>
        </w:rPr>
      </w:pPr>
    </w:p>
    <w:p w14:paraId="12FE4683">
      <w:pPr>
        <w:pStyle w:val="67"/>
        <w:rPr>
          <w:rFonts w:hint="eastAsia" w:ascii="宋体" w:hAnsi="宋体" w:eastAsia="宋体" w:cs="宋体"/>
          <w:color w:val="auto"/>
        </w:rPr>
      </w:pPr>
    </w:p>
    <w:p w14:paraId="023571C0">
      <w:pPr>
        <w:pStyle w:val="67"/>
        <w:rPr>
          <w:rFonts w:hint="eastAsia" w:ascii="宋体" w:hAnsi="宋体" w:eastAsia="宋体" w:cs="宋体"/>
          <w:color w:val="auto"/>
        </w:rPr>
      </w:pPr>
    </w:p>
    <w:p w14:paraId="24BB8F8F">
      <w:pPr>
        <w:pStyle w:val="67"/>
        <w:rPr>
          <w:rFonts w:hint="eastAsia" w:ascii="宋体" w:hAnsi="宋体" w:eastAsia="宋体" w:cs="宋体"/>
          <w:color w:val="auto"/>
        </w:rPr>
      </w:pPr>
    </w:p>
    <w:p w14:paraId="543870CC">
      <w:pPr>
        <w:pStyle w:val="67"/>
        <w:rPr>
          <w:rFonts w:hint="eastAsia" w:ascii="宋体" w:hAnsi="宋体" w:eastAsia="宋体" w:cs="宋体"/>
          <w:color w:val="auto"/>
        </w:rPr>
      </w:pPr>
    </w:p>
    <w:p w14:paraId="24E361B9">
      <w:pPr>
        <w:spacing w:line="360" w:lineRule="auto"/>
        <w:rPr>
          <w:rFonts w:hint="eastAsia" w:ascii="宋体" w:hAnsi="宋体" w:eastAsia="宋体" w:cs="宋体"/>
          <w:color w:val="auto"/>
          <w:sz w:val="24"/>
          <w:szCs w:val="32"/>
        </w:rPr>
      </w:pPr>
    </w:p>
    <w:p w14:paraId="0D6B32CE">
      <w:pPr>
        <w:spacing w:line="360" w:lineRule="auto"/>
        <w:jc w:val="center"/>
        <w:outlineLvl w:val="0"/>
        <w:rPr>
          <w:rStyle w:val="234"/>
          <w:rFonts w:hint="eastAsia" w:ascii="宋体" w:hAnsi="宋体" w:eastAsia="宋体" w:cs="宋体"/>
          <w:b/>
          <w:bCs/>
          <w:color w:val="auto"/>
          <w:sz w:val="40"/>
          <w:szCs w:val="40"/>
          <w:lang w:val="en-US" w:eastAsia="zh-CN"/>
        </w:rPr>
      </w:pPr>
      <w:bookmarkStart w:id="667" w:name="_Toc20526"/>
      <w:bookmarkStart w:id="668" w:name="_Toc8814"/>
      <w:bookmarkStart w:id="669" w:name="_Toc31689"/>
      <w:bookmarkStart w:id="670" w:name="_Toc3928"/>
      <w:bookmarkStart w:id="671" w:name="_Toc24455"/>
      <w:bookmarkStart w:id="672" w:name="_Toc32288"/>
      <w:bookmarkStart w:id="673" w:name="_Toc29833"/>
      <w:bookmarkStart w:id="674" w:name="_Toc17741"/>
      <w:bookmarkStart w:id="675" w:name="_Toc28828"/>
      <w:r>
        <w:rPr>
          <w:rStyle w:val="234"/>
          <w:rFonts w:hint="eastAsia" w:ascii="宋体" w:hAnsi="宋体" w:eastAsia="宋体" w:cs="宋体"/>
          <w:b/>
          <w:bCs/>
          <w:color w:val="auto"/>
          <w:sz w:val="40"/>
          <w:szCs w:val="40"/>
          <w:lang w:val="en-US" w:eastAsia="zh-CN"/>
        </w:rPr>
        <w:t>第六章 图纸和技术资料</w:t>
      </w:r>
      <w:bookmarkEnd w:id="663"/>
      <w:bookmarkEnd w:id="664"/>
      <w:bookmarkEnd w:id="665"/>
      <w:bookmarkEnd w:id="666"/>
      <w:bookmarkEnd w:id="667"/>
      <w:bookmarkEnd w:id="668"/>
      <w:bookmarkEnd w:id="669"/>
      <w:bookmarkEnd w:id="670"/>
      <w:bookmarkEnd w:id="671"/>
      <w:bookmarkEnd w:id="672"/>
      <w:bookmarkEnd w:id="673"/>
      <w:bookmarkEnd w:id="674"/>
      <w:bookmarkEnd w:id="675"/>
      <w:r>
        <w:rPr>
          <w:rStyle w:val="234"/>
          <w:rFonts w:hint="eastAsia" w:ascii="宋体" w:hAnsi="宋体" w:eastAsia="宋体" w:cs="宋体"/>
          <w:b/>
          <w:bCs/>
          <w:color w:val="auto"/>
          <w:sz w:val="40"/>
          <w:szCs w:val="40"/>
          <w:lang w:val="en-US" w:eastAsia="zh-CN"/>
        </w:rPr>
        <w:t>（另附）</w:t>
      </w:r>
    </w:p>
    <w:p w14:paraId="251F102B">
      <w:pPr>
        <w:spacing w:line="360" w:lineRule="auto"/>
        <w:ind w:firstLine="480"/>
        <w:rPr>
          <w:rFonts w:hint="eastAsia" w:ascii="宋体" w:hAnsi="宋体" w:eastAsia="宋体" w:cs="宋体"/>
          <w:color w:val="auto"/>
        </w:rPr>
      </w:pPr>
    </w:p>
    <w:p w14:paraId="2FC20E28">
      <w:pPr>
        <w:pStyle w:val="66"/>
        <w:spacing w:line="360" w:lineRule="auto"/>
        <w:rPr>
          <w:rFonts w:hint="eastAsia" w:ascii="宋体" w:hAnsi="宋体" w:eastAsia="宋体" w:cs="宋体"/>
          <w:color w:val="auto"/>
        </w:rPr>
      </w:pPr>
    </w:p>
    <w:p w14:paraId="45B02392">
      <w:pPr>
        <w:pStyle w:val="24"/>
        <w:spacing w:line="360" w:lineRule="auto"/>
        <w:ind w:firstLine="480"/>
        <w:jc w:val="left"/>
        <w:rPr>
          <w:rFonts w:hint="eastAsia" w:ascii="宋体" w:hAnsi="宋体" w:eastAsia="宋体" w:cs="宋体"/>
          <w:color w:val="auto"/>
          <w:sz w:val="24"/>
        </w:rPr>
      </w:pPr>
    </w:p>
    <w:p w14:paraId="483064C7">
      <w:pPr>
        <w:pStyle w:val="24"/>
        <w:spacing w:line="360" w:lineRule="auto"/>
        <w:ind w:firstLine="480"/>
        <w:jc w:val="left"/>
        <w:rPr>
          <w:rFonts w:hint="eastAsia" w:ascii="宋体" w:hAnsi="宋体" w:eastAsia="宋体" w:cs="宋体"/>
          <w:color w:val="auto"/>
          <w:sz w:val="24"/>
        </w:rPr>
      </w:pPr>
    </w:p>
    <w:p w14:paraId="7756784E">
      <w:pPr>
        <w:pStyle w:val="24"/>
        <w:spacing w:line="360" w:lineRule="auto"/>
        <w:ind w:firstLine="480"/>
        <w:jc w:val="left"/>
        <w:rPr>
          <w:rFonts w:hint="eastAsia" w:ascii="宋体" w:hAnsi="宋体" w:eastAsia="宋体" w:cs="宋体"/>
          <w:color w:val="auto"/>
          <w:sz w:val="24"/>
        </w:rPr>
      </w:pPr>
    </w:p>
    <w:p w14:paraId="415DDE70">
      <w:pPr>
        <w:pStyle w:val="3"/>
        <w:spacing w:line="360" w:lineRule="auto"/>
        <w:jc w:val="center"/>
        <w:outlineLvl w:val="9"/>
        <w:rPr>
          <w:rFonts w:hint="eastAsia" w:ascii="宋体" w:hAnsi="宋体" w:eastAsia="宋体" w:cs="宋体"/>
          <w:color w:val="auto"/>
          <w:sz w:val="44"/>
          <w:szCs w:val="44"/>
        </w:rPr>
      </w:pPr>
    </w:p>
    <w:p w14:paraId="65DA3727">
      <w:pPr>
        <w:spacing w:line="360" w:lineRule="auto"/>
        <w:rPr>
          <w:rFonts w:hint="eastAsia" w:ascii="宋体" w:hAnsi="宋体" w:eastAsia="宋体" w:cs="宋体"/>
          <w:color w:val="auto"/>
          <w:sz w:val="44"/>
          <w:szCs w:val="44"/>
        </w:rPr>
      </w:pPr>
    </w:p>
    <w:p w14:paraId="5B9DE396">
      <w:pPr>
        <w:pStyle w:val="66"/>
        <w:spacing w:line="360" w:lineRule="auto"/>
        <w:rPr>
          <w:rFonts w:hint="eastAsia" w:ascii="宋体" w:hAnsi="宋体" w:eastAsia="宋体" w:cs="宋体"/>
          <w:color w:val="auto"/>
        </w:rPr>
      </w:pPr>
    </w:p>
    <w:p w14:paraId="54310621">
      <w:pPr>
        <w:pStyle w:val="66"/>
        <w:spacing w:line="360" w:lineRule="auto"/>
        <w:rPr>
          <w:rFonts w:hint="eastAsia" w:ascii="宋体" w:hAnsi="宋体" w:eastAsia="宋体" w:cs="宋体"/>
          <w:color w:val="auto"/>
        </w:rPr>
      </w:pPr>
    </w:p>
    <w:p w14:paraId="100FB321">
      <w:pPr>
        <w:pStyle w:val="66"/>
        <w:spacing w:line="360" w:lineRule="auto"/>
        <w:rPr>
          <w:rFonts w:hint="eastAsia" w:ascii="宋体" w:hAnsi="宋体" w:eastAsia="宋体" w:cs="宋体"/>
          <w:color w:val="auto"/>
        </w:rPr>
      </w:pPr>
    </w:p>
    <w:p w14:paraId="391C8FE8">
      <w:pPr>
        <w:pStyle w:val="66"/>
        <w:spacing w:line="360" w:lineRule="auto"/>
        <w:rPr>
          <w:rFonts w:hint="eastAsia" w:ascii="宋体" w:hAnsi="宋体" w:eastAsia="宋体" w:cs="宋体"/>
          <w:color w:val="auto"/>
        </w:rPr>
      </w:pPr>
    </w:p>
    <w:p w14:paraId="78049B84">
      <w:pPr>
        <w:pStyle w:val="66"/>
        <w:spacing w:line="360" w:lineRule="auto"/>
        <w:rPr>
          <w:rFonts w:hint="eastAsia" w:ascii="宋体" w:hAnsi="宋体" w:eastAsia="宋体" w:cs="宋体"/>
          <w:color w:val="auto"/>
        </w:rPr>
      </w:pPr>
    </w:p>
    <w:p w14:paraId="58097362">
      <w:pPr>
        <w:spacing w:line="360" w:lineRule="auto"/>
        <w:jc w:val="center"/>
        <w:outlineLvl w:val="0"/>
        <w:rPr>
          <w:rFonts w:hint="eastAsia" w:ascii="宋体" w:hAnsi="宋体" w:eastAsia="宋体" w:cs="宋体"/>
          <w:b/>
          <w:bCs/>
          <w:color w:val="auto"/>
          <w:sz w:val="44"/>
          <w:szCs w:val="44"/>
        </w:rPr>
      </w:pPr>
      <w:r>
        <w:rPr>
          <w:rFonts w:hint="eastAsia" w:ascii="宋体" w:hAnsi="宋体" w:eastAsia="宋体" w:cs="宋体"/>
          <w:b/>
          <w:bCs/>
          <w:color w:val="auto"/>
          <w:sz w:val="44"/>
          <w:szCs w:val="44"/>
        </w:rPr>
        <w:br w:type="page" w:clear="all"/>
      </w:r>
      <w:bookmarkStart w:id="676" w:name="_Toc15798"/>
      <w:bookmarkStart w:id="677" w:name="_Toc30065"/>
      <w:bookmarkStart w:id="678" w:name="_Toc27020"/>
      <w:bookmarkStart w:id="679" w:name="_Toc20912"/>
      <w:bookmarkStart w:id="680" w:name="_Toc6240"/>
      <w:bookmarkStart w:id="681" w:name="_Toc22241"/>
      <w:bookmarkStart w:id="682" w:name="_Toc18685"/>
      <w:bookmarkStart w:id="683" w:name="_Toc14930"/>
      <w:bookmarkStart w:id="684" w:name="_Toc21157"/>
      <w:r>
        <w:rPr>
          <w:rStyle w:val="234"/>
          <w:rFonts w:hint="eastAsia" w:ascii="宋体" w:hAnsi="宋体" w:eastAsia="宋体" w:cs="宋体"/>
          <w:b/>
          <w:bCs/>
          <w:color w:val="auto"/>
          <w:sz w:val="40"/>
          <w:szCs w:val="40"/>
          <w:lang w:val="en-US" w:eastAsia="zh-CN"/>
        </w:rPr>
        <w:t>第七章 评审方法和评审标准</w:t>
      </w:r>
      <w:bookmarkEnd w:id="639"/>
      <w:bookmarkEnd w:id="640"/>
      <w:bookmarkEnd w:id="641"/>
      <w:bookmarkEnd w:id="676"/>
      <w:bookmarkEnd w:id="677"/>
      <w:bookmarkEnd w:id="678"/>
      <w:bookmarkEnd w:id="679"/>
      <w:bookmarkEnd w:id="680"/>
      <w:bookmarkEnd w:id="681"/>
      <w:bookmarkEnd w:id="682"/>
      <w:bookmarkEnd w:id="683"/>
      <w:bookmarkEnd w:id="684"/>
    </w:p>
    <w:p w14:paraId="5E04E78B">
      <w:pPr>
        <w:pStyle w:val="291"/>
        <w:spacing w:before="0" w:after="0"/>
        <w:ind w:firstLine="482"/>
        <w:rPr>
          <w:rFonts w:ascii="宋体" w:hAnsi="宋体" w:cs="宋体"/>
          <w:b/>
          <w:color w:val="auto"/>
          <w:highlight w:val="none"/>
        </w:rPr>
      </w:pPr>
      <w:bookmarkStart w:id="685" w:name="_Toc22025"/>
      <w:bookmarkStart w:id="686" w:name="_Toc12286"/>
      <w:bookmarkStart w:id="687" w:name="_Toc23868"/>
      <w:r>
        <w:rPr>
          <w:rFonts w:hint="eastAsia" w:ascii="宋体" w:hAnsi="宋体" w:cs="宋体"/>
          <w:b/>
          <w:color w:val="auto"/>
          <w:highlight w:val="none"/>
        </w:rPr>
        <w:t>一、政府采购政策功能落实</w:t>
      </w:r>
    </w:p>
    <w:p w14:paraId="127A327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（一）执行财政部、工业和信息化部《关于印发〈政府采购促进中小企业发展管理办法〉的通知》（财库〔2020〕46号）、江苏省财政厅《关于进一步加大政府采购支持中小企业力度的通知》（苏财购〔2022〕45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p>
    <w:p w14:paraId="2B9D411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（二）供应商为残疾人福利性单位的，符合财库〔2017〕141号文件规定条件的残疾人福利性单位视同小型、微型企业，提供《残疾人福利性单位声明函》。</w:t>
      </w:r>
    </w:p>
    <w:p w14:paraId="60983D0E">
      <w:pPr>
        <w:spacing w:line="360" w:lineRule="auto"/>
        <w:ind w:firstLine="480"/>
        <w:rPr>
          <w:rFonts w:hint="eastAsia" w:ascii="宋体" w:hAnsi="宋体" w:eastAsia="宋体" w:cs="宋体"/>
          <w:b/>
          <w:color w:val="auto"/>
        </w:rPr>
      </w:pPr>
      <w:r>
        <w:rPr>
          <w:rFonts w:hint="eastAsia" w:ascii="宋体" w:hAnsi="宋体" w:cs="宋体"/>
          <w:color w:val="auto"/>
          <w:sz w:val="24"/>
          <w:highlight w:val="none"/>
        </w:rPr>
        <w:t>（三）供应商为监狱企业的，根据《财政部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p>
    <w:p w14:paraId="65A3EBAA">
      <w:pPr>
        <w:pStyle w:val="291"/>
        <w:spacing w:before="0" w:after="0"/>
        <w:ind w:firstLine="482"/>
        <w:outlineLvl w:val="1"/>
        <w:rPr>
          <w:rFonts w:hint="eastAsia" w:ascii="宋体" w:hAnsi="宋体" w:eastAsia="宋体" w:cs="宋体"/>
          <w:b/>
          <w:color w:val="auto"/>
        </w:rPr>
      </w:pPr>
      <w:r>
        <w:rPr>
          <w:rFonts w:hint="eastAsia" w:ascii="宋体" w:hAnsi="宋体" w:cs="宋体"/>
          <w:b/>
          <w:color w:val="auto"/>
          <w:lang w:val="en-US" w:eastAsia="zh-CN"/>
        </w:rPr>
        <w:t>二、</w:t>
      </w:r>
      <w:r>
        <w:rPr>
          <w:rFonts w:hint="eastAsia" w:ascii="宋体" w:hAnsi="宋体" w:eastAsia="宋体" w:cs="宋体"/>
          <w:b/>
          <w:color w:val="auto"/>
        </w:rPr>
        <w:t>磋商小组：</w:t>
      </w:r>
      <w:bookmarkEnd w:id="685"/>
      <w:bookmarkEnd w:id="686"/>
      <w:bookmarkEnd w:id="687"/>
    </w:p>
    <w:p w14:paraId="2DFF8B1E">
      <w:pPr>
        <w:pStyle w:val="291"/>
        <w:spacing w:before="0" w:after="0"/>
        <w:ind w:firstLine="482"/>
        <w:rPr>
          <w:rFonts w:hint="eastAsia" w:ascii="宋体" w:hAnsi="宋体" w:eastAsia="宋体" w:cs="宋体"/>
          <w:color w:val="auto"/>
        </w:rPr>
      </w:pPr>
      <w:r>
        <w:rPr>
          <w:rFonts w:hint="eastAsia" w:ascii="宋体" w:hAnsi="宋体" w:eastAsia="宋体" w:cs="宋体"/>
          <w:bCs/>
          <w:color w:val="auto"/>
        </w:rPr>
        <w:t>本采购项目磋商小组的评委由相关的专家、采购人代表等有关人员构成。</w:t>
      </w:r>
    </w:p>
    <w:p w14:paraId="14BA845B">
      <w:pPr>
        <w:pStyle w:val="291"/>
        <w:spacing w:before="0" w:after="0"/>
        <w:ind w:firstLine="482"/>
        <w:outlineLvl w:val="1"/>
        <w:rPr>
          <w:rFonts w:hint="eastAsia" w:ascii="宋体" w:hAnsi="宋体" w:eastAsia="宋体" w:cs="宋体"/>
          <w:b/>
          <w:color w:val="auto"/>
        </w:rPr>
      </w:pPr>
      <w:bookmarkStart w:id="688" w:name="_Toc3129"/>
      <w:bookmarkStart w:id="689" w:name="_Toc29549"/>
      <w:bookmarkStart w:id="690" w:name="_Toc9713"/>
      <w:r>
        <w:rPr>
          <w:rFonts w:hint="eastAsia" w:ascii="宋体" w:hAnsi="宋体" w:cs="宋体"/>
          <w:b/>
          <w:color w:val="auto"/>
          <w:lang w:val="en-US" w:eastAsia="zh-CN"/>
        </w:rPr>
        <w:t>三</w:t>
      </w:r>
      <w:r>
        <w:rPr>
          <w:rFonts w:hint="eastAsia" w:ascii="宋体" w:hAnsi="宋体" w:eastAsia="宋体" w:cs="宋体"/>
          <w:b/>
          <w:color w:val="auto"/>
        </w:rPr>
        <w:t>、评审方法：</w:t>
      </w:r>
      <w:r>
        <w:rPr>
          <w:rFonts w:hint="eastAsia" w:ascii="宋体" w:hAnsi="宋体" w:eastAsia="宋体" w:cs="宋体"/>
          <w:b/>
          <w:bCs/>
          <w:color w:val="auto"/>
        </w:rPr>
        <w:t>综合评分法</w:t>
      </w:r>
      <w:bookmarkEnd w:id="688"/>
      <w:bookmarkEnd w:id="689"/>
      <w:bookmarkEnd w:id="690"/>
    </w:p>
    <w:p w14:paraId="74744AFE">
      <w:pPr>
        <w:pStyle w:val="291"/>
        <w:spacing w:before="0" w:after="0"/>
        <w:rPr>
          <w:rFonts w:hint="eastAsia" w:ascii="宋体" w:hAnsi="宋体" w:eastAsia="宋体" w:cs="宋体"/>
          <w:color w:val="auto"/>
        </w:rPr>
      </w:pPr>
      <w:r>
        <w:rPr>
          <w:rFonts w:hint="eastAsia" w:ascii="宋体" w:hAnsi="宋体" w:eastAsia="宋体" w:cs="宋体"/>
          <w:color w:val="auto"/>
        </w:rPr>
        <w:t>经磋商确定最终采购需求和确定提交最后报价的供应商后，由磋商小组采用综合评分法对提交最后报价的供应商的响应文件和最后报价进行综合评分。</w:t>
      </w:r>
    </w:p>
    <w:p w14:paraId="4CBAC50D">
      <w:pPr>
        <w:pStyle w:val="291"/>
        <w:spacing w:before="0" w:after="0"/>
        <w:ind w:firstLine="482"/>
        <w:rPr>
          <w:rFonts w:hint="eastAsia" w:ascii="宋体" w:hAnsi="宋体" w:eastAsia="宋体" w:cs="宋体"/>
          <w:bCs/>
          <w:color w:val="auto"/>
        </w:rPr>
      </w:pPr>
      <w:r>
        <w:rPr>
          <w:rFonts w:hint="eastAsia" w:ascii="宋体" w:hAnsi="宋体" w:eastAsia="宋体" w:cs="宋体"/>
          <w:color w:val="auto"/>
        </w:rPr>
        <w:t>综合评分法，是指响应文件满足磋商文件全部实质性要求且按评审因素的量化指标评审得分最高的供应商为成交候选供应商的评审方法。</w:t>
      </w:r>
    </w:p>
    <w:p w14:paraId="15F8B60C">
      <w:pPr>
        <w:pStyle w:val="291"/>
        <w:spacing w:before="0" w:after="0"/>
        <w:ind w:firstLine="482"/>
        <w:outlineLvl w:val="1"/>
        <w:rPr>
          <w:rFonts w:hint="eastAsia" w:ascii="宋体" w:hAnsi="宋体" w:eastAsia="宋体" w:cs="宋体"/>
          <w:b/>
          <w:color w:val="auto"/>
        </w:rPr>
      </w:pPr>
      <w:bookmarkStart w:id="691" w:name="_Toc29343"/>
      <w:bookmarkStart w:id="692" w:name="_Toc7676"/>
      <w:bookmarkStart w:id="693" w:name="_Toc7675"/>
      <w:r>
        <w:rPr>
          <w:rFonts w:hint="eastAsia" w:ascii="宋体" w:hAnsi="宋体" w:cs="宋体"/>
          <w:b/>
          <w:color w:val="auto"/>
          <w:lang w:val="en-US" w:eastAsia="zh-CN"/>
        </w:rPr>
        <w:t>四</w:t>
      </w:r>
      <w:r>
        <w:rPr>
          <w:rFonts w:hint="eastAsia" w:ascii="宋体" w:hAnsi="宋体" w:eastAsia="宋体" w:cs="宋体"/>
          <w:b/>
          <w:color w:val="auto"/>
        </w:rPr>
        <w:t>、评审原则：</w:t>
      </w:r>
      <w:bookmarkEnd w:id="691"/>
      <w:bookmarkEnd w:id="692"/>
      <w:bookmarkEnd w:id="693"/>
    </w:p>
    <w:p w14:paraId="663EE8E6">
      <w:pPr>
        <w:pStyle w:val="291"/>
        <w:spacing w:before="0" w:after="0"/>
        <w:ind w:firstLine="482"/>
        <w:rPr>
          <w:rFonts w:hint="eastAsia" w:ascii="宋体" w:hAnsi="宋体" w:eastAsia="宋体" w:cs="宋体"/>
          <w:color w:val="auto"/>
        </w:rPr>
      </w:pPr>
      <w:r>
        <w:rPr>
          <w:rFonts w:hint="eastAsia" w:ascii="宋体" w:hAnsi="宋体" w:eastAsia="宋体" w:cs="宋体"/>
          <w:color w:val="auto"/>
        </w:rPr>
        <w:t>磋商小组</w:t>
      </w:r>
      <w:r>
        <w:rPr>
          <w:rFonts w:hint="eastAsia" w:ascii="宋体" w:hAnsi="宋体" w:eastAsia="宋体" w:cs="宋体"/>
          <w:bCs/>
          <w:color w:val="auto"/>
        </w:rPr>
        <w:t>必须公平、公正、客观，不带任何倾向性和启发性；不得向外界透露任何与评审有关的内容；任何单位和个人不得干扰、影响评审的正常进行；</w:t>
      </w:r>
      <w:r>
        <w:rPr>
          <w:rFonts w:hint="eastAsia" w:ascii="宋体" w:hAnsi="宋体" w:eastAsia="宋体" w:cs="宋体"/>
          <w:color w:val="auto"/>
        </w:rPr>
        <w:t>磋商小组</w:t>
      </w:r>
      <w:r>
        <w:rPr>
          <w:rFonts w:hint="eastAsia" w:ascii="宋体" w:hAnsi="宋体" w:eastAsia="宋体" w:cs="宋体"/>
          <w:bCs/>
          <w:color w:val="auto"/>
        </w:rPr>
        <w:t>及有关工作人员不得私下与供应商接触。</w:t>
      </w:r>
    </w:p>
    <w:p w14:paraId="6B0CE1B8">
      <w:pPr>
        <w:pStyle w:val="291"/>
        <w:spacing w:before="0" w:after="0"/>
        <w:ind w:firstLine="482"/>
        <w:outlineLvl w:val="1"/>
        <w:rPr>
          <w:rFonts w:hint="eastAsia" w:ascii="宋体" w:hAnsi="宋体" w:eastAsia="宋体" w:cs="宋体"/>
          <w:b/>
          <w:color w:val="auto"/>
        </w:rPr>
      </w:pPr>
      <w:bookmarkStart w:id="694" w:name="_Toc17099"/>
      <w:bookmarkStart w:id="695" w:name="_Toc444"/>
      <w:bookmarkStart w:id="696" w:name="_Toc23596"/>
      <w:r>
        <w:rPr>
          <w:rFonts w:hint="eastAsia" w:ascii="宋体" w:hAnsi="宋体" w:cs="宋体"/>
          <w:b/>
          <w:color w:val="auto"/>
          <w:lang w:val="en-US" w:eastAsia="zh-CN"/>
        </w:rPr>
        <w:t>五</w:t>
      </w:r>
      <w:r>
        <w:rPr>
          <w:rFonts w:hint="eastAsia" w:ascii="宋体" w:hAnsi="宋体" w:eastAsia="宋体" w:cs="宋体"/>
          <w:b/>
          <w:color w:val="auto"/>
        </w:rPr>
        <w:t>、评审标准：</w:t>
      </w:r>
      <w:bookmarkEnd w:id="694"/>
      <w:bookmarkEnd w:id="695"/>
      <w:bookmarkEnd w:id="696"/>
      <w:r>
        <w:rPr>
          <w:rFonts w:hint="eastAsia" w:ascii="宋体" w:hAnsi="宋体" w:eastAsia="宋体" w:cs="宋体"/>
          <w:b/>
          <w:color w:val="auto"/>
        </w:rPr>
        <w:t xml:space="preserve"> </w:t>
      </w:r>
    </w:p>
    <w:p w14:paraId="4A71603B">
      <w:pPr>
        <w:pStyle w:val="291"/>
        <w:spacing w:before="0" w:after="0"/>
        <w:rPr>
          <w:rFonts w:hint="eastAsia" w:ascii="宋体" w:hAnsi="宋体" w:eastAsia="宋体" w:cs="宋体"/>
          <w:bCs/>
          <w:color w:val="auto"/>
        </w:rPr>
      </w:pPr>
      <w:r>
        <w:rPr>
          <w:rFonts w:hint="eastAsia" w:ascii="宋体" w:hAnsi="宋体" w:eastAsia="宋体" w:cs="宋体"/>
          <w:bCs/>
          <w:color w:val="auto"/>
        </w:rPr>
        <w:t>（一）评审时，磋商小组以磋商文件为评审依据，磋商小组各成员独立对每个有效响应的文件进行评价、打分，然后汇总每个供应商每项评审因素的得分。</w:t>
      </w:r>
    </w:p>
    <w:p w14:paraId="21D7752A">
      <w:pPr>
        <w:pStyle w:val="44"/>
        <w:tabs>
          <w:tab w:val="left" w:pos="720"/>
        </w:tabs>
        <w:spacing w:line="360" w:lineRule="auto"/>
        <w:ind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（二）本项目评分总分为100分，按四舍五入取至小数点后两位。</w:t>
      </w:r>
    </w:p>
    <w:p w14:paraId="37929DC6">
      <w:pPr>
        <w:pStyle w:val="44"/>
        <w:tabs>
          <w:tab w:val="left" w:pos="720"/>
        </w:tabs>
        <w:spacing w:line="360" w:lineRule="auto"/>
        <w:ind w:firstLine="480"/>
        <w:rPr>
          <w:rFonts w:hint="eastAsia" w:ascii="宋体" w:hAnsi="宋体" w:eastAsia="宋体" w:cs="宋体"/>
          <w:bCs/>
          <w:color w:val="auto"/>
          <w:sz w:val="24"/>
          <w:szCs w:val="24"/>
        </w:rPr>
      </w:pPr>
    </w:p>
    <w:p w14:paraId="0F66C9DE">
      <w:pPr>
        <w:pStyle w:val="44"/>
        <w:tabs>
          <w:tab w:val="left" w:pos="720"/>
        </w:tabs>
        <w:spacing w:line="360" w:lineRule="auto"/>
        <w:ind w:firstLine="480"/>
        <w:rPr>
          <w:rFonts w:hint="eastAsia" w:ascii="宋体" w:hAnsi="宋体" w:eastAsia="宋体" w:cs="宋体"/>
          <w:bCs/>
          <w:color w:val="auto"/>
          <w:sz w:val="24"/>
          <w:szCs w:val="24"/>
        </w:rPr>
      </w:pPr>
    </w:p>
    <w:p w14:paraId="4951944E">
      <w:pPr>
        <w:pStyle w:val="44"/>
        <w:tabs>
          <w:tab w:val="left" w:pos="720"/>
        </w:tabs>
        <w:spacing w:line="360" w:lineRule="auto"/>
        <w:rPr>
          <w:rFonts w:hint="eastAsia" w:ascii="宋体" w:hAnsi="宋体" w:eastAsia="宋体" w:cs="宋体"/>
          <w:bCs/>
          <w:color w:val="auto"/>
          <w:sz w:val="24"/>
          <w:szCs w:val="24"/>
        </w:rPr>
      </w:pPr>
    </w:p>
    <w:p w14:paraId="17E528CA">
      <w:pPr>
        <w:widowControl w:val="0"/>
        <w:spacing w:before="0" w:after="0" w:line="360" w:lineRule="auto"/>
        <w:ind w:firstLine="643"/>
        <w:jc w:val="center"/>
        <w:rPr>
          <w:rFonts w:hint="eastAsia" w:ascii="宋体" w:hAnsi="宋体" w:eastAsia="宋体" w:cs="宋体"/>
          <w:b/>
          <w:bCs/>
          <w:color w:val="auto"/>
          <w:kern w:val="2"/>
          <w:sz w:val="32"/>
          <w:szCs w:val="32"/>
          <w:lang w:val="en-US" w:eastAsia="zh-CN" w:bidi="ar-SA"/>
        </w:rPr>
      </w:pPr>
      <w:r>
        <w:rPr>
          <w:rFonts w:hint="eastAsia" w:ascii="宋体" w:hAnsi="宋体" w:eastAsia="宋体" w:cs="宋体"/>
          <w:b/>
          <w:bCs/>
          <w:color w:val="auto"/>
          <w:kern w:val="2"/>
          <w:sz w:val="32"/>
          <w:szCs w:val="32"/>
          <w:lang w:val="en-US" w:eastAsia="zh-CN" w:bidi="ar-SA"/>
        </w:rPr>
        <w:t>综合评分法</w:t>
      </w:r>
    </w:p>
    <w:p w14:paraId="731A6F50">
      <w:pPr>
        <w:widowControl w:val="0"/>
        <w:spacing w:before="120" w:after="120" w:line="360" w:lineRule="auto"/>
        <w:ind w:firstLine="482"/>
        <w:jc w:val="left"/>
        <w:rPr>
          <w:rFonts w:hint="default" w:ascii="Times New Roman" w:hAnsi="Times New Roman" w:eastAsia="宋体" w:cs="Times New Roman"/>
          <w:b/>
          <w:bCs/>
          <w:color w:val="0000FF"/>
          <w:kern w:val="0"/>
          <w:sz w:val="24"/>
          <w:szCs w:val="24"/>
          <w:highlight w:val="none"/>
          <w:lang w:val="en-US" w:eastAsia="zh-CN" w:bidi="ar-SA"/>
        </w:rPr>
      </w:pPr>
      <w:r>
        <w:rPr>
          <w:rFonts w:hint="default" w:ascii="Times New Roman" w:hAnsi="Times New Roman" w:eastAsia="宋体" w:cs="Times New Roman"/>
          <w:b/>
          <w:bCs/>
          <w:color w:val="0000FF"/>
          <w:kern w:val="0"/>
          <w:sz w:val="24"/>
          <w:szCs w:val="24"/>
          <w:highlight w:val="none"/>
          <w:lang w:val="en-US" w:eastAsia="zh-CN" w:bidi="ar-SA"/>
        </w:rPr>
        <w:t>1、价格分：</w:t>
      </w:r>
      <w:r>
        <w:rPr>
          <w:rFonts w:hint="eastAsia" w:ascii="Times New Roman" w:hAnsi="Times New Roman" w:cs="Times New Roman"/>
          <w:b/>
          <w:bCs/>
          <w:color w:val="0000FF"/>
          <w:kern w:val="0"/>
          <w:sz w:val="24"/>
          <w:szCs w:val="24"/>
          <w:highlight w:val="none"/>
          <w:lang w:val="en-US" w:eastAsia="zh-CN" w:bidi="ar-SA"/>
        </w:rPr>
        <w:t>20</w:t>
      </w:r>
      <w:r>
        <w:rPr>
          <w:rFonts w:hint="default" w:ascii="Times New Roman" w:hAnsi="Times New Roman" w:eastAsia="宋体" w:cs="Times New Roman"/>
          <w:b/>
          <w:bCs/>
          <w:color w:val="0000FF"/>
          <w:kern w:val="0"/>
          <w:sz w:val="24"/>
          <w:szCs w:val="24"/>
          <w:highlight w:val="none"/>
          <w:lang w:val="en-US" w:eastAsia="zh-CN" w:bidi="ar-SA"/>
        </w:rPr>
        <w:t>分</w:t>
      </w:r>
    </w:p>
    <w:p w14:paraId="28157B88">
      <w:pPr>
        <w:widowControl w:val="0"/>
        <w:spacing w:before="120" w:after="120" w:line="360" w:lineRule="auto"/>
        <w:ind w:firstLine="480"/>
        <w:jc w:val="left"/>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价格分统一采用低价优先法计算，即满足磋商文件要求且最后报价最低的供应商的价格为磋商基准价，其价格分为满分。其他供应商的价格分统一按照下列公式计算：</w:t>
      </w:r>
    </w:p>
    <w:p w14:paraId="43509A51">
      <w:pPr>
        <w:widowControl w:val="0"/>
        <w:spacing w:before="120" w:after="120" w:line="360" w:lineRule="auto"/>
        <w:ind w:firstLine="480"/>
        <w:jc w:val="left"/>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磋商报价得分=(磋商基准价/最后磋商报价)×</w:t>
      </w:r>
      <w:r>
        <w:rPr>
          <w:rFonts w:hint="eastAsia" w:ascii="宋体" w:hAnsi="宋体" w:cs="宋体"/>
          <w:bCs/>
          <w:color w:val="auto"/>
          <w:kern w:val="0"/>
          <w:sz w:val="24"/>
          <w:szCs w:val="24"/>
          <w:highlight w:val="none"/>
          <w:lang w:val="en-US" w:eastAsia="zh-CN" w:bidi="ar-SA"/>
        </w:rPr>
        <w:t>20</w:t>
      </w:r>
      <w:r>
        <w:rPr>
          <w:rFonts w:hint="eastAsia" w:ascii="宋体" w:hAnsi="宋体" w:eastAsia="宋体" w:cs="宋体"/>
          <w:bCs/>
          <w:color w:val="auto"/>
          <w:kern w:val="0"/>
          <w:sz w:val="24"/>
          <w:szCs w:val="24"/>
          <w:highlight w:val="none"/>
          <w:lang w:val="en-US" w:eastAsia="zh-CN" w:bidi="ar-SA"/>
        </w:rPr>
        <w:t>分</w:t>
      </w:r>
    </w:p>
    <w:p w14:paraId="1D7422B8">
      <w:pPr>
        <w:widowControl w:val="0"/>
        <w:spacing w:before="120" w:after="120" w:line="360" w:lineRule="auto"/>
        <w:ind w:firstLine="480"/>
        <w:jc w:val="left"/>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项目评审过程中，不得去掉最后报价中的最高报价和最低报价</w:t>
      </w:r>
    </w:p>
    <w:p w14:paraId="26594C65">
      <w:pPr>
        <w:widowControl w:val="0"/>
        <w:spacing w:before="120" w:after="120" w:line="240" w:lineRule="auto"/>
        <w:ind w:firstLine="472"/>
        <w:jc w:val="left"/>
        <w:rPr>
          <w:rFonts w:hint="default" w:ascii="Times New Roman" w:hAnsi="Times New Roman" w:eastAsia="宋体" w:cs="Times New Roman"/>
          <w:b/>
          <w:bCs/>
          <w:color w:val="0000FF"/>
          <w:kern w:val="0"/>
          <w:sz w:val="24"/>
          <w:szCs w:val="24"/>
          <w:highlight w:val="none"/>
          <w:lang w:val="en-US" w:eastAsia="zh-CN" w:bidi="ar-SA"/>
        </w:rPr>
      </w:pPr>
      <w:r>
        <w:rPr>
          <w:rFonts w:hint="default" w:ascii="Times New Roman" w:hAnsi="Times New Roman" w:eastAsia="宋体" w:cs="Times New Roman"/>
          <w:b/>
          <w:bCs/>
          <w:color w:val="0000FF"/>
          <w:kern w:val="0"/>
          <w:sz w:val="24"/>
          <w:szCs w:val="24"/>
          <w:highlight w:val="none"/>
          <w:lang w:val="en-US" w:eastAsia="zh-CN" w:bidi="ar-SA"/>
        </w:rPr>
        <w:t>2、商务技术分：</w:t>
      </w:r>
      <w:r>
        <w:rPr>
          <w:rFonts w:hint="eastAsia" w:ascii="Times New Roman" w:hAnsi="Times New Roman" w:cs="Times New Roman"/>
          <w:b/>
          <w:bCs/>
          <w:color w:val="0000FF"/>
          <w:kern w:val="0"/>
          <w:sz w:val="24"/>
          <w:szCs w:val="24"/>
          <w:highlight w:val="none"/>
          <w:lang w:val="en-US" w:eastAsia="zh-CN" w:bidi="ar-SA"/>
        </w:rPr>
        <w:t>80</w:t>
      </w:r>
      <w:r>
        <w:rPr>
          <w:rFonts w:hint="default" w:ascii="Times New Roman" w:hAnsi="Times New Roman" w:eastAsia="宋体" w:cs="Times New Roman"/>
          <w:b/>
          <w:bCs/>
          <w:color w:val="0000FF"/>
          <w:kern w:val="0"/>
          <w:sz w:val="24"/>
          <w:szCs w:val="24"/>
          <w:highlight w:val="none"/>
          <w:lang w:val="en-US" w:eastAsia="zh-CN" w:bidi="ar-SA"/>
        </w:rPr>
        <w:t>分</w:t>
      </w:r>
    </w:p>
    <w:tbl>
      <w:tblPr>
        <w:tblStyle w:val="294"/>
        <w:tblpPr w:leftFromText="180" w:rightFromText="180" w:vertAnchor="text" w:horzAnchor="page" w:tblpX="1392" w:tblpY="421"/>
        <w:tblOverlap w:val="never"/>
        <w:tblW w:w="960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31"/>
        <w:gridCol w:w="7871"/>
      </w:tblGrid>
      <w:tr w14:paraId="4EEE76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3" w:hRule="atLeast"/>
        </w:trPr>
        <w:tc>
          <w:tcPr>
            <w:tcW w:w="1731" w:type="dxa"/>
            <w:tcBorders>
              <w:top w:val="single" w:color="auto" w:sz="4" w:space="0"/>
              <w:left w:val="single" w:color="000000" w:sz="2" w:space="0"/>
              <w:bottom w:val="single" w:color="auto" w:sz="4" w:space="0"/>
              <w:right w:val="single" w:color="000000" w:sz="2" w:space="0"/>
            </w:tcBorders>
            <w:shd w:val="clear" w:color="auto" w:fill="auto"/>
            <w:noWrap w:val="0"/>
          </w:tcPr>
          <w:p w14:paraId="20B7922B">
            <w:pPr>
              <w:widowControl/>
              <w:spacing w:line="360" w:lineRule="auto"/>
              <w:jc w:val="left"/>
              <w:rPr>
                <w:rFonts w:hint="default" w:ascii="宋体" w:hAnsi="宋体" w:eastAsia="宋体" w:cs="宋体"/>
                <w:color w:val="auto"/>
                <w:kern w:val="0"/>
                <w:sz w:val="24"/>
                <w:szCs w:val="24"/>
                <w:highlight w:val="none"/>
              </w:rPr>
            </w:pPr>
          </w:p>
          <w:p w14:paraId="3064D8A5">
            <w:pPr>
              <w:widowControl/>
              <w:spacing w:beforeAutospacing="0" w:afterAutospacing="0" w:line="360" w:lineRule="auto"/>
              <w:jc w:val="center"/>
              <w:rPr>
                <w:rFonts w:hint="eastAsia" w:ascii="宋体" w:hAnsi="宋体" w:eastAsia="宋体" w:cs="宋体"/>
                <w:b/>
                <w:bCs/>
                <w:color w:val="auto"/>
                <w:spacing w:val="6"/>
                <w:kern w:val="0"/>
                <w:position w:val="14"/>
                <w:sz w:val="24"/>
                <w:szCs w:val="24"/>
                <w:highlight w:val="none"/>
                <w:lang w:val="en-US" w:eastAsia="zh-CN" w:bidi="ar"/>
              </w:rPr>
            </w:pPr>
          </w:p>
          <w:p w14:paraId="6B8C70FD">
            <w:pPr>
              <w:widowControl/>
              <w:spacing w:beforeAutospacing="0" w:afterAutospacing="0" w:line="360" w:lineRule="auto"/>
              <w:jc w:val="center"/>
              <w:rPr>
                <w:rFonts w:hint="eastAsia" w:ascii="宋体" w:hAnsi="宋体" w:eastAsia="宋体" w:cs="宋体"/>
                <w:b/>
                <w:bCs/>
                <w:color w:val="auto"/>
                <w:spacing w:val="6"/>
                <w:kern w:val="0"/>
                <w:position w:val="14"/>
                <w:sz w:val="24"/>
                <w:szCs w:val="24"/>
                <w:highlight w:val="none"/>
                <w:lang w:val="en-US" w:eastAsia="zh-CN" w:bidi="ar"/>
              </w:rPr>
            </w:pPr>
          </w:p>
          <w:p w14:paraId="63C74C01">
            <w:pPr>
              <w:widowControl/>
              <w:spacing w:beforeAutospacing="0" w:afterAutospacing="0" w:line="360" w:lineRule="auto"/>
              <w:jc w:val="center"/>
              <w:rPr>
                <w:rFonts w:hint="default" w:ascii="宋体" w:hAnsi="宋体" w:eastAsia="宋体" w:cs="宋体"/>
                <w:b/>
                <w:bCs/>
                <w:color w:val="auto"/>
                <w:spacing w:val="6"/>
                <w:kern w:val="0"/>
                <w:position w:val="14"/>
                <w:sz w:val="24"/>
                <w:szCs w:val="24"/>
                <w:highlight w:val="none"/>
                <w:lang w:val="en-US" w:eastAsia="zh-CN" w:bidi="ar-SA"/>
              </w:rPr>
            </w:pPr>
            <w:r>
              <w:rPr>
                <w:rFonts w:hint="eastAsia" w:ascii="宋体" w:hAnsi="宋体" w:eastAsia="宋体" w:cs="宋体"/>
                <w:b/>
                <w:bCs/>
                <w:color w:val="auto"/>
                <w:spacing w:val="6"/>
                <w:kern w:val="0"/>
                <w:position w:val="14"/>
                <w:sz w:val="24"/>
                <w:szCs w:val="24"/>
                <w:highlight w:val="none"/>
                <w:lang w:val="en-US" w:eastAsia="zh-CN" w:bidi="ar"/>
              </w:rPr>
              <w:t>人员配备</w:t>
            </w:r>
          </w:p>
          <w:p w14:paraId="7F54D0C8">
            <w:pPr>
              <w:widowControl/>
              <w:spacing w:beforeAutospacing="0" w:afterAutospacing="0" w:line="360" w:lineRule="auto"/>
              <w:jc w:val="center"/>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spacing w:val="-3"/>
                <w:kern w:val="0"/>
                <w:sz w:val="24"/>
                <w:szCs w:val="24"/>
                <w:highlight w:val="none"/>
                <w:lang w:val="en-US" w:eastAsia="zh-CN" w:bidi="ar"/>
              </w:rPr>
              <w:t>16分</w:t>
            </w:r>
          </w:p>
        </w:tc>
        <w:tc>
          <w:tcPr>
            <w:tcW w:w="7871" w:type="dxa"/>
            <w:tcBorders>
              <w:top w:val="single" w:color="auto" w:sz="4" w:space="0"/>
              <w:left w:val="single" w:color="000000" w:sz="2" w:space="0"/>
              <w:bottom w:val="single" w:color="auto" w:sz="4" w:space="0"/>
              <w:right w:val="single" w:color="000000" w:sz="2" w:space="0"/>
            </w:tcBorders>
            <w:shd w:val="clear" w:color="auto" w:fill="auto"/>
            <w:noWrap w:val="0"/>
          </w:tcPr>
          <w:p w14:paraId="2F16ED1F">
            <w:pPr>
              <w:numPr>
                <w:ilvl w:val="0"/>
                <w:numId w:val="8"/>
              </w:numPr>
              <w:spacing w:beforeLines="0" w:afterLines="0" w:line="400" w:lineRule="exact"/>
              <w:jc w:val="left"/>
              <w:rPr>
                <w:rFonts w:hint="eastAsia" w:ascii="宋体" w:hAnsi="宋体" w:eastAsia="宋体" w:cs="宋体"/>
                <w:color w:val="auto"/>
                <w:kern w:val="2"/>
                <w:sz w:val="24"/>
                <w:szCs w:val="24"/>
              </w:rPr>
            </w:pPr>
            <w:r>
              <w:rPr>
                <w:rFonts w:hint="eastAsia" w:ascii="宋体" w:hAnsi="宋体" w:eastAsia="宋体" w:cs="宋体"/>
                <w:color w:val="000000"/>
                <w:kern w:val="2"/>
                <w:sz w:val="24"/>
                <w:szCs w:val="24"/>
              </w:rPr>
              <w:t>拟派技术负责人（与项目负责人不得为同一</w:t>
            </w:r>
            <w:r>
              <w:rPr>
                <w:rFonts w:hint="eastAsia" w:ascii="宋体" w:hAnsi="宋体" w:eastAsia="宋体" w:cs="宋体"/>
                <w:color w:val="auto"/>
                <w:kern w:val="2"/>
                <w:sz w:val="24"/>
                <w:szCs w:val="24"/>
              </w:rPr>
              <w:t>人）具有</w:t>
            </w:r>
            <w:r>
              <w:rPr>
                <w:rFonts w:hint="eastAsia" w:ascii="宋体" w:hAnsi="宋体" w:eastAsia="宋体" w:cs="宋体"/>
                <w:color w:val="auto"/>
                <w:kern w:val="2"/>
                <w:sz w:val="24"/>
                <w:szCs w:val="24"/>
                <w:highlight w:val="none"/>
                <w:lang w:val="en-US" w:eastAsia="zh-CN"/>
              </w:rPr>
              <w:t>中级及以上</w:t>
            </w:r>
            <w:r>
              <w:rPr>
                <w:rFonts w:hint="eastAsia" w:ascii="宋体" w:hAnsi="宋体" w:eastAsia="宋体" w:cs="宋体"/>
                <w:color w:val="auto"/>
                <w:kern w:val="2"/>
                <w:sz w:val="24"/>
                <w:szCs w:val="24"/>
                <w:highlight w:val="none"/>
              </w:rPr>
              <w:t>工程师</w:t>
            </w:r>
            <w:r>
              <w:rPr>
                <w:rFonts w:hint="eastAsia" w:ascii="宋体" w:hAnsi="宋体" w:eastAsia="宋体" w:cs="宋体"/>
                <w:color w:val="auto"/>
                <w:kern w:val="2"/>
                <w:sz w:val="24"/>
                <w:szCs w:val="24"/>
              </w:rPr>
              <w:t>得3分。</w:t>
            </w:r>
          </w:p>
          <w:p w14:paraId="7DB4EBB3">
            <w:pPr>
              <w:numPr>
                <w:ilvl w:val="0"/>
                <w:numId w:val="8"/>
              </w:numPr>
              <w:spacing w:beforeLines="0" w:afterLines="0" w:line="400" w:lineRule="exact"/>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项目组成员（除技术负责人、项目负责人外）具有</w:t>
            </w:r>
            <w:r>
              <w:rPr>
                <w:rFonts w:hint="eastAsia" w:ascii="宋体" w:hAnsi="宋体" w:eastAsia="宋体" w:cs="宋体"/>
                <w:color w:val="auto"/>
                <w:kern w:val="2"/>
                <w:sz w:val="24"/>
                <w:szCs w:val="24"/>
                <w:lang w:val="en-US" w:eastAsia="zh-CN"/>
              </w:rPr>
              <w:t>质量</w:t>
            </w:r>
            <w:r>
              <w:rPr>
                <w:rFonts w:hint="eastAsia" w:ascii="宋体" w:hAnsi="宋体" w:eastAsia="宋体" w:cs="宋体"/>
                <w:color w:val="auto"/>
                <w:kern w:val="2"/>
                <w:sz w:val="24"/>
                <w:szCs w:val="24"/>
              </w:rPr>
              <w:t>员，</w:t>
            </w:r>
            <w:r>
              <w:rPr>
                <w:rFonts w:hint="eastAsia" w:ascii="宋体" w:hAnsi="宋体" w:eastAsia="宋体" w:cs="宋体"/>
                <w:color w:val="auto"/>
                <w:kern w:val="2"/>
                <w:sz w:val="24"/>
                <w:szCs w:val="24"/>
                <w:lang w:val="en-US" w:eastAsia="zh-CN"/>
              </w:rPr>
              <w:t>施工</w:t>
            </w:r>
            <w:r>
              <w:rPr>
                <w:rFonts w:hint="eastAsia" w:ascii="宋体" w:hAnsi="宋体" w:eastAsia="宋体" w:cs="宋体"/>
                <w:color w:val="auto"/>
                <w:kern w:val="2"/>
                <w:sz w:val="24"/>
                <w:szCs w:val="24"/>
              </w:rPr>
              <w:t>员，安全员、</w:t>
            </w:r>
            <w:r>
              <w:rPr>
                <w:rFonts w:hint="eastAsia" w:ascii="宋体" w:hAnsi="宋体" w:eastAsia="宋体" w:cs="宋体"/>
                <w:color w:val="auto"/>
                <w:kern w:val="2"/>
                <w:sz w:val="24"/>
                <w:szCs w:val="24"/>
                <w:lang w:val="en-US" w:eastAsia="zh-CN"/>
              </w:rPr>
              <w:t>资料员</w:t>
            </w:r>
            <w:r>
              <w:rPr>
                <w:rFonts w:hint="eastAsia" w:ascii="宋体" w:hAnsi="宋体" w:cs="宋体"/>
                <w:color w:val="auto"/>
                <w:kern w:val="2"/>
                <w:sz w:val="24"/>
                <w:szCs w:val="24"/>
                <w:lang w:val="en-US" w:eastAsia="zh-CN"/>
              </w:rPr>
              <w:t>，每有一个</w:t>
            </w:r>
            <w:r>
              <w:rPr>
                <w:rFonts w:hint="eastAsia" w:ascii="宋体" w:hAnsi="宋体" w:eastAsia="宋体" w:cs="宋体"/>
                <w:color w:val="auto"/>
                <w:kern w:val="2"/>
                <w:sz w:val="24"/>
                <w:szCs w:val="24"/>
              </w:rPr>
              <w:t>得</w:t>
            </w:r>
            <w:r>
              <w:rPr>
                <w:rFonts w:hint="eastAsia" w:ascii="宋体" w:hAnsi="宋体" w:eastAsia="宋体" w:cs="宋体"/>
                <w:color w:val="auto"/>
                <w:kern w:val="2"/>
                <w:sz w:val="24"/>
                <w:szCs w:val="24"/>
                <w:lang w:val="en-US" w:eastAsia="zh-CN"/>
              </w:rPr>
              <w:t>2</w:t>
            </w:r>
            <w:r>
              <w:rPr>
                <w:rFonts w:hint="eastAsia" w:ascii="宋体" w:hAnsi="宋体" w:eastAsia="宋体" w:cs="宋体"/>
                <w:color w:val="auto"/>
                <w:kern w:val="2"/>
                <w:sz w:val="24"/>
                <w:szCs w:val="24"/>
              </w:rPr>
              <w:t>分</w:t>
            </w:r>
            <w:r>
              <w:rPr>
                <w:rFonts w:hint="eastAsia" w:ascii="宋体" w:hAnsi="宋体" w:cs="宋体"/>
                <w:color w:val="auto"/>
                <w:kern w:val="2"/>
                <w:sz w:val="24"/>
                <w:szCs w:val="24"/>
                <w:lang w:eastAsia="zh-CN"/>
              </w:rPr>
              <w:t>，</w:t>
            </w:r>
            <w:r>
              <w:rPr>
                <w:rFonts w:hint="eastAsia" w:ascii="宋体" w:hAnsi="宋体" w:eastAsia="宋体" w:cs="宋体"/>
                <w:color w:val="auto"/>
                <w:kern w:val="2"/>
                <w:sz w:val="24"/>
                <w:szCs w:val="24"/>
              </w:rPr>
              <w:t>最高得</w:t>
            </w:r>
            <w:r>
              <w:rPr>
                <w:rFonts w:hint="eastAsia" w:ascii="宋体" w:hAnsi="宋体" w:eastAsia="宋体" w:cs="宋体"/>
                <w:color w:val="auto"/>
                <w:kern w:val="2"/>
                <w:sz w:val="24"/>
                <w:szCs w:val="24"/>
                <w:lang w:val="en-US" w:eastAsia="zh-CN"/>
              </w:rPr>
              <w:t>8</w:t>
            </w:r>
            <w:r>
              <w:rPr>
                <w:rFonts w:hint="eastAsia" w:ascii="宋体" w:hAnsi="宋体" w:eastAsia="宋体" w:cs="宋体"/>
                <w:color w:val="auto"/>
                <w:kern w:val="2"/>
                <w:sz w:val="24"/>
                <w:szCs w:val="24"/>
              </w:rPr>
              <w:t>分。</w:t>
            </w:r>
          </w:p>
          <w:p w14:paraId="454085A5">
            <w:pPr>
              <w:numPr>
                <w:ilvl w:val="0"/>
                <w:numId w:val="8"/>
              </w:numPr>
              <w:spacing w:beforeLines="0" w:afterLines="0" w:line="400" w:lineRule="exact"/>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项目组成员（除技术负责人、项目负责人外）具有</w:t>
            </w:r>
            <w:r>
              <w:rPr>
                <w:rFonts w:hint="eastAsia" w:ascii="宋体" w:hAnsi="宋体" w:eastAsia="宋体" w:cs="宋体"/>
                <w:color w:val="auto"/>
                <w:kern w:val="2"/>
                <w:sz w:val="24"/>
                <w:szCs w:val="24"/>
                <w:highlight w:val="none"/>
                <w:lang w:val="en-US" w:eastAsia="zh-CN"/>
              </w:rPr>
              <w:t>中级及以上工程师</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rPr>
              <w:t>得</w:t>
            </w:r>
            <w:r>
              <w:rPr>
                <w:rFonts w:hint="eastAsia" w:ascii="宋体" w:hAnsi="宋体" w:eastAsia="宋体" w:cs="宋体"/>
                <w:color w:val="auto"/>
                <w:kern w:val="2"/>
                <w:sz w:val="24"/>
                <w:szCs w:val="24"/>
                <w:lang w:val="en-US" w:eastAsia="zh-CN"/>
              </w:rPr>
              <w:t>5</w:t>
            </w:r>
            <w:r>
              <w:rPr>
                <w:rFonts w:hint="eastAsia" w:ascii="宋体" w:hAnsi="宋体" w:eastAsia="宋体" w:cs="宋体"/>
                <w:color w:val="auto"/>
                <w:kern w:val="2"/>
                <w:sz w:val="24"/>
                <w:szCs w:val="24"/>
              </w:rPr>
              <w:t>分。</w:t>
            </w:r>
          </w:p>
          <w:p w14:paraId="2A335791">
            <w:pPr>
              <w:keepNext w:val="0"/>
              <w:keepLines w:val="0"/>
              <w:pageBreakBefore w:val="0"/>
              <w:widowControl/>
              <w:spacing w:line="360" w:lineRule="auto"/>
              <w:jc w:val="left"/>
              <w:rPr>
                <w:rFonts w:hint="eastAsia" w:ascii="宋体" w:hAnsi="宋体" w:eastAsia="宋体" w:cs="宋体"/>
                <w:b/>
                <w:bCs/>
                <w:color w:val="auto"/>
                <w:kern w:val="0"/>
                <w:sz w:val="24"/>
                <w:szCs w:val="24"/>
                <w:highlight w:val="none"/>
                <w:lang w:eastAsia="zh-CN" w:bidi="ar"/>
              </w:rPr>
            </w:pPr>
            <w:r>
              <w:rPr>
                <w:rFonts w:hint="eastAsia" w:ascii="宋体" w:hAnsi="宋体" w:eastAsia="宋体" w:cs="宋体"/>
                <w:b/>
                <w:bCs/>
                <w:color w:val="auto"/>
                <w:kern w:val="0"/>
                <w:sz w:val="24"/>
                <w:szCs w:val="24"/>
                <w:highlight w:val="none"/>
                <w:lang w:bidi="ar"/>
              </w:rPr>
              <w:t>注：</w:t>
            </w:r>
            <w:r>
              <w:rPr>
                <w:rFonts w:hint="eastAsia" w:ascii="宋体" w:hAnsi="宋体" w:eastAsia="宋体" w:cs="宋体"/>
                <w:b/>
                <w:bCs/>
                <w:color w:val="auto"/>
                <w:kern w:val="0"/>
                <w:sz w:val="24"/>
                <w:szCs w:val="24"/>
                <w:highlight w:val="none"/>
                <w:lang w:eastAsia="zh-CN" w:bidi="ar"/>
              </w:rPr>
              <w:t>（</w:t>
            </w:r>
            <w:r>
              <w:rPr>
                <w:rFonts w:hint="eastAsia" w:ascii="宋体" w:hAnsi="宋体" w:eastAsia="宋体" w:cs="宋体"/>
                <w:b/>
                <w:bCs/>
                <w:color w:val="auto"/>
                <w:kern w:val="0"/>
                <w:sz w:val="24"/>
                <w:szCs w:val="24"/>
                <w:highlight w:val="none"/>
                <w:lang w:val="en-US" w:eastAsia="zh-CN" w:bidi="ar"/>
              </w:rPr>
              <w:t>1</w:t>
            </w:r>
            <w:r>
              <w:rPr>
                <w:rFonts w:hint="eastAsia" w:ascii="宋体" w:hAnsi="宋体" w:eastAsia="宋体" w:cs="宋体"/>
                <w:b/>
                <w:bCs/>
                <w:color w:val="auto"/>
                <w:kern w:val="0"/>
                <w:sz w:val="24"/>
                <w:szCs w:val="24"/>
                <w:highlight w:val="none"/>
                <w:lang w:eastAsia="zh-CN" w:bidi="ar"/>
              </w:rPr>
              <w:t>）</w:t>
            </w:r>
            <w:r>
              <w:rPr>
                <w:rFonts w:hint="eastAsia" w:ascii="宋体" w:hAnsi="宋体" w:eastAsia="宋体" w:cs="宋体"/>
                <w:b/>
                <w:bCs/>
                <w:color w:val="auto"/>
                <w:kern w:val="0"/>
                <w:sz w:val="24"/>
                <w:szCs w:val="24"/>
                <w:highlight w:val="none"/>
                <w:lang w:bidi="ar"/>
              </w:rPr>
              <w:t>提供相关证书原件彩色扫描件上传至电子投标文件中，未提供不得分</w:t>
            </w:r>
            <w:r>
              <w:rPr>
                <w:rFonts w:hint="eastAsia" w:ascii="宋体" w:hAnsi="宋体" w:eastAsia="宋体" w:cs="宋体"/>
                <w:b/>
                <w:bCs/>
                <w:color w:val="auto"/>
                <w:kern w:val="0"/>
                <w:sz w:val="24"/>
                <w:szCs w:val="24"/>
                <w:highlight w:val="none"/>
                <w:lang w:eastAsia="zh-CN" w:bidi="ar"/>
              </w:rPr>
              <w:t>。</w:t>
            </w:r>
          </w:p>
          <w:p w14:paraId="1166B301">
            <w:pPr>
              <w:keepNext w:val="0"/>
              <w:keepLines w:val="0"/>
              <w:pageBreakBefore w:val="0"/>
              <w:widowControl/>
              <w:spacing w:line="360" w:lineRule="auto"/>
              <w:jc w:val="lef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eastAsia="zh-CN" w:bidi="ar"/>
              </w:rPr>
              <w:t>（</w:t>
            </w:r>
            <w:r>
              <w:rPr>
                <w:rFonts w:hint="eastAsia" w:ascii="宋体" w:hAnsi="宋体" w:eastAsia="宋体" w:cs="宋体"/>
                <w:b/>
                <w:bCs/>
                <w:color w:val="auto"/>
                <w:kern w:val="0"/>
                <w:sz w:val="24"/>
                <w:szCs w:val="24"/>
                <w:highlight w:val="none"/>
                <w:lang w:val="en-US" w:eastAsia="zh-CN" w:bidi="ar"/>
              </w:rPr>
              <w:t>2</w:t>
            </w:r>
            <w:r>
              <w:rPr>
                <w:rFonts w:hint="eastAsia" w:ascii="宋体" w:hAnsi="宋体" w:eastAsia="宋体" w:cs="宋体"/>
                <w:b/>
                <w:bCs/>
                <w:color w:val="auto"/>
                <w:kern w:val="0"/>
                <w:sz w:val="24"/>
                <w:szCs w:val="24"/>
                <w:highlight w:val="none"/>
                <w:lang w:eastAsia="zh-CN" w:bidi="ar"/>
              </w:rPr>
              <w:t>）以上人员必须为供应商的员工，提供2026年1月至今任意一个月由供应商为其缴纳的社保缴纳证明（加盖社保中心章或社保中心参保缴费证明电子专用章）；</w:t>
            </w:r>
          </w:p>
        </w:tc>
      </w:tr>
      <w:tr w14:paraId="03BA13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3" w:hRule="atLeast"/>
        </w:trPr>
        <w:tc>
          <w:tcPr>
            <w:tcW w:w="1731" w:type="dxa"/>
            <w:tcBorders>
              <w:top w:val="single" w:color="auto" w:sz="4" w:space="0"/>
              <w:left w:val="single" w:color="000000" w:sz="2" w:space="0"/>
              <w:bottom w:val="single" w:color="auto" w:sz="4" w:space="0"/>
              <w:right w:val="single" w:color="000000" w:sz="2" w:space="0"/>
            </w:tcBorders>
            <w:shd w:val="clear" w:color="auto" w:fill="auto"/>
            <w:noWrap w:val="0"/>
            <w:vAlign w:val="center"/>
          </w:tcPr>
          <w:p w14:paraId="6A698470">
            <w:pPr>
              <w:widowControl/>
              <w:spacing w:beforeAutospacing="0" w:afterAutospacing="0" w:line="360" w:lineRule="auto"/>
              <w:jc w:val="center"/>
              <w:rPr>
                <w:rFonts w:hint="eastAsia" w:ascii="宋体" w:hAnsi="宋体" w:eastAsia="宋体" w:cs="宋体"/>
                <w:b/>
                <w:bCs/>
                <w:color w:val="auto"/>
                <w:spacing w:val="-3"/>
                <w:kern w:val="0"/>
                <w:sz w:val="24"/>
                <w:szCs w:val="24"/>
                <w:highlight w:val="none"/>
                <w:lang w:val="en-US" w:eastAsia="zh-CN" w:bidi="ar"/>
              </w:rPr>
            </w:pPr>
            <w:r>
              <w:rPr>
                <w:rFonts w:hint="eastAsia" w:ascii="宋体" w:hAnsi="宋体" w:eastAsia="宋体" w:cs="宋体"/>
                <w:b/>
                <w:bCs/>
                <w:color w:val="auto"/>
                <w:spacing w:val="-3"/>
                <w:kern w:val="0"/>
                <w:sz w:val="24"/>
                <w:szCs w:val="24"/>
                <w:highlight w:val="none"/>
                <w:lang w:val="en-US" w:eastAsia="zh-CN" w:bidi="ar"/>
              </w:rPr>
              <w:t>缺陷责任期</w:t>
            </w:r>
          </w:p>
          <w:p w14:paraId="3A4D373D">
            <w:pPr>
              <w:widowControl/>
              <w:spacing w:beforeAutospacing="0" w:afterAutospacing="0" w:line="360" w:lineRule="auto"/>
              <w:jc w:val="center"/>
              <w:rPr>
                <w:rFonts w:hint="default" w:ascii="宋体" w:hAnsi="宋体" w:eastAsia="宋体" w:cs="宋体"/>
                <w:b/>
                <w:bCs/>
                <w:color w:val="auto"/>
                <w:spacing w:val="-3"/>
                <w:kern w:val="0"/>
                <w:sz w:val="24"/>
                <w:szCs w:val="24"/>
                <w:highlight w:val="none"/>
                <w:lang w:val="en-US" w:eastAsia="zh-CN" w:bidi="ar"/>
              </w:rPr>
            </w:pPr>
            <w:r>
              <w:rPr>
                <w:rFonts w:hint="eastAsia" w:ascii="宋体" w:hAnsi="宋体" w:eastAsia="宋体" w:cs="宋体"/>
                <w:b/>
                <w:bCs/>
                <w:color w:val="auto"/>
                <w:spacing w:val="-3"/>
                <w:kern w:val="0"/>
                <w:sz w:val="24"/>
                <w:szCs w:val="24"/>
                <w:highlight w:val="none"/>
                <w:lang w:val="en-US" w:eastAsia="zh-CN" w:bidi="ar"/>
              </w:rPr>
              <w:t>4分</w:t>
            </w:r>
          </w:p>
        </w:tc>
        <w:tc>
          <w:tcPr>
            <w:tcW w:w="7871" w:type="dxa"/>
            <w:tcBorders>
              <w:top w:val="single" w:color="auto" w:sz="4" w:space="0"/>
              <w:left w:val="single" w:color="000000" w:sz="2" w:space="0"/>
              <w:bottom w:val="single" w:color="auto" w:sz="4" w:space="0"/>
              <w:right w:val="single" w:color="000000" w:sz="2" w:space="0"/>
            </w:tcBorders>
            <w:shd w:val="clear" w:color="auto" w:fill="auto"/>
            <w:noWrap w:val="0"/>
          </w:tcPr>
          <w:p w14:paraId="21340B0B">
            <w:pPr>
              <w:keepNext w:val="0"/>
              <w:keepLines w:val="0"/>
              <w:pageBreakBefore w:val="0"/>
              <w:widowControl/>
              <w:numPr>
                <w:ilvl w:val="0"/>
                <w:numId w:val="9"/>
              </w:numPr>
              <w:spacing w:line="360" w:lineRule="auto"/>
              <w:jc w:val="left"/>
              <w:rPr>
                <w:rFonts w:hint="eastAsia" w:ascii="宋体" w:hAnsi="宋体" w:eastAsia="宋体" w:cs="宋体"/>
                <w:color w:val="auto"/>
                <w:kern w:val="0"/>
                <w:sz w:val="24"/>
                <w:szCs w:val="24"/>
                <w:highlight w:val="none"/>
                <w:lang w:val="en-US" w:eastAsia="zh-CN" w:bidi="ar"/>
              </w:rPr>
            </w:pPr>
            <w:bookmarkStart w:id="697" w:name="OLE_LINK123"/>
            <w:bookmarkStart w:id="698" w:name="OLE_LINK122"/>
            <w:r>
              <w:rPr>
                <w:rFonts w:hint="eastAsia" w:ascii="宋体" w:hAnsi="宋体" w:cs="宋体"/>
                <w:color w:val="auto"/>
                <w:kern w:val="0"/>
                <w:sz w:val="24"/>
                <w:szCs w:val="24"/>
                <w:highlight w:val="none"/>
                <w:lang w:val="en-US" w:eastAsia="zh-CN" w:bidi="ar"/>
              </w:rPr>
              <w:t>在满足</w:t>
            </w:r>
            <w:r>
              <w:rPr>
                <w:rFonts w:hint="eastAsia" w:ascii="宋体" w:hAnsi="宋体" w:eastAsia="宋体" w:cs="宋体"/>
                <w:color w:val="auto"/>
                <w:kern w:val="0"/>
                <w:sz w:val="24"/>
                <w:szCs w:val="24"/>
                <w:highlight w:val="none"/>
                <w:lang w:val="en-US" w:eastAsia="zh-CN" w:bidi="ar"/>
              </w:rPr>
              <w:t>项目缺陷责任期</w:t>
            </w:r>
            <w:r>
              <w:rPr>
                <w:rFonts w:hint="eastAsia" w:ascii="宋体" w:hAnsi="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自实际竣工日期起24个月</w:t>
            </w:r>
            <w:r>
              <w:rPr>
                <w:rFonts w:hint="eastAsia" w:ascii="宋体" w:hAnsi="宋体" w:cs="宋体"/>
                <w:color w:val="auto"/>
                <w:kern w:val="0"/>
                <w:sz w:val="24"/>
                <w:szCs w:val="24"/>
                <w:highlight w:val="none"/>
                <w:lang w:val="en-US" w:eastAsia="zh-CN" w:bidi="ar"/>
              </w:rPr>
              <w:t>）的</w:t>
            </w:r>
            <w:r>
              <w:rPr>
                <w:rFonts w:hint="eastAsia" w:ascii="宋体" w:hAnsi="宋体" w:eastAsia="宋体" w:cs="宋体"/>
                <w:color w:val="auto"/>
                <w:kern w:val="0"/>
                <w:sz w:val="24"/>
                <w:szCs w:val="24"/>
                <w:highlight w:val="none"/>
                <w:lang w:val="en-US" w:eastAsia="zh-CN" w:bidi="ar"/>
              </w:rPr>
              <w:t>基础上，</w:t>
            </w:r>
            <w:r>
              <w:rPr>
                <w:rFonts w:hint="eastAsia" w:ascii="宋体" w:hAnsi="宋体" w:cs="宋体"/>
                <w:color w:val="auto"/>
                <w:kern w:val="0"/>
                <w:sz w:val="24"/>
                <w:szCs w:val="24"/>
                <w:highlight w:val="none"/>
                <w:lang w:val="en-US" w:eastAsia="zh-CN" w:bidi="ar"/>
              </w:rPr>
              <w:t>每</w:t>
            </w:r>
            <w:r>
              <w:rPr>
                <w:rFonts w:hint="eastAsia" w:ascii="宋体" w:hAnsi="宋体" w:eastAsia="宋体" w:cs="宋体"/>
                <w:color w:val="auto"/>
                <w:kern w:val="0"/>
                <w:sz w:val="24"/>
                <w:szCs w:val="24"/>
                <w:highlight w:val="none"/>
                <w:lang w:val="en-US" w:eastAsia="zh-CN" w:bidi="ar"/>
              </w:rPr>
              <w:t>增加一年加2分，最高得4分。</w:t>
            </w:r>
          </w:p>
          <w:bookmarkEnd w:id="697"/>
          <w:bookmarkEnd w:id="698"/>
          <w:p w14:paraId="6A42C0A5">
            <w:pPr>
              <w:keepNext w:val="0"/>
              <w:keepLines w:val="0"/>
              <w:pageBreakBefore w:val="0"/>
              <w:widowControl/>
              <w:spacing w:line="360" w:lineRule="auto"/>
              <w:jc w:val="left"/>
              <w:rPr>
                <w:rFonts w:hint="eastAsia" w:ascii="宋体" w:hAnsi="宋体" w:eastAsia="宋体" w:cs="宋体"/>
                <w:color w:val="auto"/>
                <w:kern w:val="0"/>
                <w:sz w:val="24"/>
                <w:szCs w:val="24"/>
                <w:highlight w:val="none"/>
                <w:lang w:bidi="ar"/>
              </w:rPr>
            </w:pPr>
            <w:r>
              <w:rPr>
                <w:rFonts w:hint="eastAsia" w:ascii="宋体" w:hAnsi="宋体" w:eastAsia="宋体" w:cs="宋体"/>
                <w:b/>
                <w:bCs/>
                <w:color w:val="auto"/>
                <w:kern w:val="0"/>
                <w:sz w:val="24"/>
                <w:szCs w:val="24"/>
                <w:highlight w:val="none"/>
                <w:lang w:val="en-US" w:eastAsia="zh-CN" w:bidi="ar"/>
              </w:rPr>
              <w:t>注：响应文件中提供加盖供应商公章的书面承诺书原件扫描件（格式自拟），否则不得分。</w:t>
            </w:r>
          </w:p>
        </w:tc>
      </w:tr>
      <w:tr w14:paraId="0646E0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EC18144">
            <w:pPr>
              <w:widowControl/>
              <w:spacing w:beforeAutospacing="0" w:afterAutospacing="0" w:line="360" w:lineRule="auto"/>
              <w:jc w:val="center"/>
              <w:rPr>
                <w:rFonts w:hint="default" w:ascii="宋体" w:hAnsi="宋体" w:eastAsia="宋体" w:cs="宋体"/>
                <w:b/>
                <w:bCs/>
                <w:color w:val="auto"/>
                <w:spacing w:val="-3"/>
                <w:kern w:val="0"/>
                <w:sz w:val="24"/>
                <w:szCs w:val="24"/>
                <w:highlight w:val="none"/>
                <w:lang w:val="en-US" w:eastAsia="zh-CN" w:bidi="ar-SA"/>
              </w:rPr>
            </w:pPr>
            <w:r>
              <w:rPr>
                <w:rFonts w:hint="eastAsia" w:ascii="宋体" w:hAnsi="宋体" w:eastAsia="宋体" w:cs="宋体"/>
                <w:b/>
                <w:bCs/>
                <w:color w:val="auto"/>
                <w:spacing w:val="-3"/>
                <w:kern w:val="0"/>
                <w:sz w:val="24"/>
                <w:szCs w:val="24"/>
                <w:highlight w:val="none"/>
                <w:lang w:val="en-US" w:eastAsia="zh-CN" w:bidi="ar"/>
              </w:rPr>
              <w:t>类似工程业绩</w:t>
            </w:r>
          </w:p>
          <w:p w14:paraId="367275FB">
            <w:pPr>
              <w:widowControl/>
              <w:spacing w:beforeAutospacing="0" w:afterAutospacing="0" w:line="360" w:lineRule="auto"/>
              <w:jc w:val="center"/>
              <w:rPr>
                <w:rFonts w:hint="default" w:ascii="宋体" w:hAnsi="宋体" w:eastAsia="宋体" w:cs="宋体"/>
                <w:b/>
                <w:bCs/>
                <w:color w:val="auto"/>
                <w:spacing w:val="-3"/>
                <w:kern w:val="0"/>
                <w:sz w:val="24"/>
                <w:szCs w:val="24"/>
                <w:highlight w:val="none"/>
                <w:lang w:val="en-US" w:eastAsia="zh-CN" w:bidi="ar-SA"/>
              </w:rPr>
            </w:pPr>
            <w:r>
              <w:rPr>
                <w:rFonts w:hint="eastAsia" w:ascii="宋体" w:hAnsi="宋体" w:eastAsia="宋体" w:cs="宋体"/>
                <w:b/>
                <w:bCs/>
                <w:color w:val="auto"/>
                <w:spacing w:val="-3"/>
                <w:kern w:val="0"/>
                <w:sz w:val="24"/>
                <w:szCs w:val="24"/>
                <w:highlight w:val="none"/>
                <w:lang w:val="en-US" w:eastAsia="zh-CN" w:bidi="ar"/>
              </w:rPr>
              <w:t>12分</w:t>
            </w:r>
          </w:p>
        </w:tc>
        <w:tc>
          <w:tcPr>
            <w:tcW w:w="7871" w:type="dxa"/>
            <w:tcBorders>
              <w:top w:val="single" w:color="auto" w:sz="4" w:space="0"/>
              <w:left w:val="single" w:color="auto" w:sz="4" w:space="0"/>
              <w:bottom w:val="single" w:color="auto" w:sz="4" w:space="0"/>
              <w:right w:val="single" w:color="auto" w:sz="4" w:space="0"/>
            </w:tcBorders>
            <w:shd w:val="clear" w:color="auto" w:fill="auto"/>
            <w:noWrap w:val="0"/>
          </w:tcPr>
          <w:p w14:paraId="4323B6EA">
            <w:pPr>
              <w:spacing w:beforeLines="0" w:afterLines="0" w:line="400" w:lineRule="exact"/>
              <w:jc w:val="left"/>
              <w:rPr>
                <w:rFonts w:hint="eastAsia" w:ascii="宋体" w:hAnsi="宋体" w:eastAsia="宋体" w:cs="宋体"/>
                <w:color w:val="000000"/>
                <w:kern w:val="2"/>
                <w:sz w:val="24"/>
                <w:szCs w:val="24"/>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自202</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年1</w:t>
            </w:r>
            <w:r>
              <w:rPr>
                <w:rFonts w:hint="eastAsia" w:ascii="宋体" w:hAnsi="宋体" w:eastAsia="宋体" w:cs="宋体"/>
                <w:color w:val="000000"/>
                <w:kern w:val="2"/>
                <w:sz w:val="24"/>
                <w:szCs w:val="24"/>
              </w:rPr>
              <w:t xml:space="preserve"> 月 1 日起至今，磋商供应商</w:t>
            </w:r>
            <w:r>
              <w:rPr>
                <w:rFonts w:hint="eastAsia" w:ascii="宋体" w:hAnsi="宋体" w:eastAsia="宋体" w:cs="宋体"/>
                <w:color w:val="000000"/>
                <w:kern w:val="2"/>
                <w:sz w:val="24"/>
                <w:szCs w:val="24"/>
                <w:lang w:eastAsia="zh-CN"/>
              </w:rPr>
              <w:t>承担过类似项目（</w:t>
            </w:r>
            <w:r>
              <w:rPr>
                <w:rFonts w:hint="eastAsia" w:ascii="宋体" w:hAnsi="宋体" w:eastAsia="宋体" w:cs="宋体"/>
                <w:color w:val="000000"/>
                <w:kern w:val="2"/>
                <w:sz w:val="24"/>
                <w:szCs w:val="24"/>
                <w:lang w:val="en-US" w:eastAsia="zh-CN"/>
              </w:rPr>
              <w:t>外墙维修、装修</w:t>
            </w:r>
            <w:r>
              <w:rPr>
                <w:rFonts w:hint="eastAsia" w:ascii="宋体" w:hAnsi="宋体" w:cs="宋体"/>
                <w:color w:val="000000"/>
                <w:kern w:val="2"/>
                <w:sz w:val="24"/>
                <w:szCs w:val="24"/>
                <w:lang w:val="en-US" w:eastAsia="zh-CN"/>
              </w:rPr>
              <w:t>改造类</w:t>
            </w:r>
            <w:r>
              <w:rPr>
                <w:rFonts w:hint="eastAsia" w:ascii="宋体" w:hAnsi="宋体" w:eastAsia="宋体" w:cs="宋体"/>
                <w:color w:val="000000"/>
                <w:kern w:val="2"/>
                <w:sz w:val="24"/>
                <w:szCs w:val="24"/>
                <w:lang w:eastAsia="zh-CN"/>
              </w:rPr>
              <w:t>）</w:t>
            </w:r>
            <w:r>
              <w:rPr>
                <w:rFonts w:hint="eastAsia" w:ascii="宋体" w:hAnsi="宋体" w:eastAsia="宋体" w:cs="宋体"/>
                <w:color w:val="000000"/>
                <w:kern w:val="2"/>
                <w:sz w:val="24"/>
                <w:szCs w:val="24"/>
              </w:rPr>
              <w:t>，每</w:t>
            </w:r>
            <w:r>
              <w:rPr>
                <w:rFonts w:hint="eastAsia" w:ascii="宋体" w:hAnsi="宋体" w:eastAsia="宋体" w:cs="宋体"/>
                <w:color w:val="000000"/>
                <w:kern w:val="2"/>
                <w:sz w:val="24"/>
                <w:szCs w:val="24"/>
                <w:lang w:eastAsia="zh-CN"/>
              </w:rPr>
              <w:t>提供</w:t>
            </w:r>
            <w:r>
              <w:rPr>
                <w:rFonts w:hint="eastAsia" w:ascii="宋体" w:hAnsi="宋体" w:eastAsia="宋体" w:cs="宋体"/>
                <w:color w:val="000000"/>
                <w:kern w:val="2"/>
                <w:sz w:val="24"/>
                <w:szCs w:val="24"/>
              </w:rPr>
              <w:t>一个得</w:t>
            </w:r>
            <w:r>
              <w:rPr>
                <w:rFonts w:hint="eastAsia" w:ascii="宋体" w:hAnsi="宋体" w:eastAsia="宋体" w:cs="宋体"/>
                <w:color w:val="000000"/>
                <w:kern w:val="2"/>
                <w:sz w:val="24"/>
                <w:szCs w:val="24"/>
                <w:lang w:val="en-US" w:eastAsia="zh-CN"/>
              </w:rPr>
              <w:t>3</w:t>
            </w:r>
            <w:r>
              <w:rPr>
                <w:rFonts w:hint="eastAsia" w:ascii="宋体" w:hAnsi="宋体" w:eastAsia="宋体" w:cs="宋体"/>
                <w:color w:val="000000"/>
                <w:kern w:val="2"/>
                <w:sz w:val="24"/>
                <w:szCs w:val="24"/>
              </w:rPr>
              <w:t>分，最高得</w:t>
            </w:r>
            <w:r>
              <w:rPr>
                <w:rFonts w:hint="eastAsia" w:ascii="宋体" w:hAnsi="宋体" w:eastAsia="宋体" w:cs="宋体"/>
                <w:color w:val="000000"/>
                <w:kern w:val="2"/>
                <w:sz w:val="24"/>
                <w:szCs w:val="24"/>
                <w:lang w:val="en-US" w:eastAsia="zh-CN"/>
              </w:rPr>
              <w:t>12</w:t>
            </w:r>
            <w:r>
              <w:rPr>
                <w:rFonts w:hint="eastAsia" w:ascii="宋体" w:hAnsi="宋体" w:eastAsia="宋体" w:cs="宋体"/>
                <w:color w:val="000000"/>
                <w:kern w:val="2"/>
                <w:sz w:val="24"/>
                <w:szCs w:val="24"/>
              </w:rPr>
              <w:t>分。</w:t>
            </w:r>
          </w:p>
          <w:p w14:paraId="1267AAD5">
            <w:pPr>
              <w:spacing w:line="360" w:lineRule="auto"/>
              <w:rPr>
                <w:rFonts w:hint="default" w:ascii="宋体" w:hAnsi="宋体" w:eastAsia="宋体" w:cs="宋体"/>
                <w:color w:val="auto"/>
                <w:kern w:val="0"/>
                <w:sz w:val="24"/>
                <w:szCs w:val="24"/>
                <w:highlight w:val="none"/>
              </w:rPr>
            </w:pPr>
            <w:r>
              <w:rPr>
                <w:rFonts w:hint="eastAsia" w:ascii="宋体" w:hAnsi="宋体" w:eastAsia="宋体" w:cs="宋体"/>
                <w:b/>
                <w:color w:val="000000"/>
                <w:kern w:val="2"/>
                <w:sz w:val="24"/>
                <w:szCs w:val="24"/>
              </w:rPr>
              <w:t>注：时间以合同签订时间或开工时间为准。业绩证明材料须提供</w:t>
            </w:r>
            <w:r>
              <w:rPr>
                <w:rFonts w:hint="eastAsia" w:ascii="宋体" w:hAnsi="宋体" w:eastAsia="宋体" w:cs="宋体"/>
                <w:b/>
                <w:color w:val="000000"/>
                <w:kern w:val="2"/>
                <w:sz w:val="24"/>
                <w:szCs w:val="24"/>
                <w:lang w:eastAsia="zh-CN"/>
              </w:rPr>
              <w:t>中标通知书、</w:t>
            </w:r>
            <w:r>
              <w:rPr>
                <w:rFonts w:hint="eastAsia" w:ascii="宋体" w:hAnsi="宋体" w:eastAsia="宋体" w:cs="宋体"/>
                <w:b/>
                <w:color w:val="000000"/>
                <w:kern w:val="2"/>
                <w:sz w:val="24"/>
                <w:szCs w:val="24"/>
              </w:rPr>
              <w:t>合同</w:t>
            </w:r>
            <w:r>
              <w:rPr>
                <w:rFonts w:hint="eastAsia" w:ascii="宋体" w:hAnsi="宋体" w:eastAsia="宋体" w:cs="宋体"/>
                <w:b/>
                <w:color w:val="000000"/>
                <w:kern w:val="2"/>
                <w:sz w:val="24"/>
                <w:szCs w:val="24"/>
                <w:lang w:eastAsia="zh-CN"/>
              </w:rPr>
              <w:t>、竣工验收证明</w:t>
            </w:r>
            <w:r>
              <w:rPr>
                <w:rFonts w:hint="eastAsia" w:ascii="宋体" w:hAnsi="宋体" w:eastAsia="宋体" w:cs="宋体"/>
                <w:b/>
                <w:color w:val="000000"/>
                <w:kern w:val="2"/>
                <w:sz w:val="24"/>
                <w:szCs w:val="24"/>
              </w:rPr>
              <w:t>扫描件并加盖供应商公章，未提供或未按要求提供有效的证明文件的此项不得分。</w:t>
            </w:r>
            <w:r>
              <w:rPr>
                <w:rFonts w:hint="eastAsia" w:ascii="宋体" w:hAnsi="宋体" w:eastAsia="宋体" w:cs="宋体"/>
                <w:b/>
                <w:color w:val="FF0000"/>
                <w:kern w:val="2"/>
                <w:sz w:val="24"/>
                <w:szCs w:val="24"/>
              </w:rPr>
              <w:t>若提供的施工合同</w:t>
            </w:r>
            <w:r>
              <w:rPr>
                <w:rFonts w:hint="eastAsia" w:ascii="宋体" w:hAnsi="宋体" w:eastAsia="宋体" w:cs="宋体"/>
                <w:b/>
                <w:color w:val="FF0000"/>
                <w:kern w:val="2"/>
                <w:sz w:val="24"/>
                <w:szCs w:val="24"/>
                <w:lang w:eastAsia="zh-CN"/>
              </w:rPr>
              <w:t>内容</w:t>
            </w:r>
            <w:r>
              <w:rPr>
                <w:rFonts w:hint="eastAsia" w:ascii="宋体" w:hAnsi="宋体" w:eastAsia="宋体" w:cs="宋体"/>
                <w:b/>
                <w:color w:val="FF0000"/>
                <w:kern w:val="2"/>
                <w:sz w:val="24"/>
                <w:szCs w:val="24"/>
              </w:rPr>
              <w:t>不能</w:t>
            </w:r>
            <w:r>
              <w:rPr>
                <w:rFonts w:hint="eastAsia" w:ascii="宋体" w:hAnsi="宋体" w:eastAsia="宋体" w:cs="宋体"/>
                <w:b/>
                <w:color w:val="FF0000"/>
                <w:kern w:val="2"/>
                <w:sz w:val="24"/>
                <w:szCs w:val="24"/>
                <w:lang w:eastAsia="zh-CN"/>
              </w:rPr>
              <w:t>清晰的表明</w:t>
            </w:r>
            <w:r>
              <w:rPr>
                <w:rFonts w:hint="eastAsia" w:ascii="宋体" w:hAnsi="宋体" w:eastAsia="宋体" w:cs="宋体"/>
                <w:b/>
                <w:bCs/>
                <w:color w:val="FF0000"/>
                <w:kern w:val="2"/>
                <w:sz w:val="24"/>
                <w:szCs w:val="24"/>
                <w:lang w:eastAsia="zh-CN"/>
              </w:rPr>
              <w:t>类似项目</w:t>
            </w:r>
            <w:r>
              <w:rPr>
                <w:rFonts w:hint="eastAsia" w:ascii="宋体" w:hAnsi="宋体" w:eastAsia="宋体" w:cs="宋体"/>
                <w:b/>
                <w:color w:val="000000"/>
                <w:kern w:val="2"/>
                <w:sz w:val="24"/>
                <w:szCs w:val="24"/>
              </w:rPr>
              <w:t>，则需提供建设单位书面证明文件，证明文件上需加盖建设单位公章，否则不予认可。</w:t>
            </w:r>
          </w:p>
        </w:tc>
      </w:tr>
      <w:tr w14:paraId="6EED30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 w:hRule="atLeast"/>
        </w:trPr>
        <w:tc>
          <w:tcPr>
            <w:tcW w:w="1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887B16D">
            <w:pPr>
              <w:widowControl/>
              <w:spacing w:before="65" w:beforeAutospacing="0" w:afterAutospacing="0" w:line="360" w:lineRule="auto"/>
              <w:jc w:val="both"/>
              <w:rPr>
                <w:rFonts w:hint="default" w:ascii="宋体" w:hAnsi="宋体" w:eastAsia="宋体" w:cs="宋体"/>
                <w:color w:val="auto"/>
                <w:kern w:val="0"/>
                <w:sz w:val="24"/>
                <w:szCs w:val="24"/>
                <w:highlight w:val="none"/>
                <w:lang w:val="en-US" w:eastAsia="zh-CN" w:bidi="ar-SA"/>
              </w:rPr>
            </w:pPr>
            <w:r>
              <w:rPr>
                <w:rFonts w:hint="eastAsia" w:ascii="宋体" w:hAnsi="宋体" w:eastAsia="宋体" w:cs="Times New Roman"/>
                <w:b/>
                <w:color w:val="auto"/>
                <w:spacing w:val="-4"/>
                <w:kern w:val="0"/>
                <w:sz w:val="24"/>
                <w:szCs w:val="24"/>
                <w:highlight w:val="none"/>
                <w:lang w:val="en-US" w:eastAsia="zh-CN" w:bidi="ar-SA"/>
              </w:rPr>
              <w:t>施工组织总体设想</w:t>
            </w:r>
          </w:p>
          <w:p w14:paraId="37BCE234">
            <w:pPr>
              <w:widowControl/>
              <w:spacing w:beforeAutospacing="0" w:afterAutospacing="0" w:line="360" w:lineRule="auto"/>
              <w:ind w:left="637"/>
              <w:jc w:val="both"/>
              <w:rPr>
                <w:rFonts w:hint="default" w:ascii="宋体" w:hAnsi="宋体" w:eastAsia="宋体" w:cs="宋体"/>
                <w:color w:val="auto"/>
                <w:kern w:val="0"/>
                <w:sz w:val="24"/>
                <w:szCs w:val="24"/>
                <w:highlight w:val="none"/>
                <w:lang w:val="en-US" w:eastAsia="zh-CN" w:bidi="ar-SA"/>
              </w:rPr>
            </w:pPr>
            <w:r>
              <w:rPr>
                <w:rFonts w:hint="eastAsia" w:ascii="宋体" w:hAnsi="宋体" w:cs="宋体"/>
                <w:b/>
                <w:bCs/>
                <w:color w:val="auto"/>
                <w:spacing w:val="-2"/>
                <w:kern w:val="0"/>
                <w:sz w:val="24"/>
                <w:szCs w:val="24"/>
                <w:highlight w:val="none"/>
                <w:lang w:val="en-US" w:eastAsia="zh-CN" w:bidi="ar"/>
              </w:rPr>
              <w:t>8</w:t>
            </w:r>
            <w:r>
              <w:rPr>
                <w:rFonts w:hint="eastAsia" w:ascii="宋体" w:hAnsi="宋体" w:eastAsia="宋体" w:cs="宋体"/>
                <w:b/>
                <w:bCs/>
                <w:color w:val="auto"/>
                <w:spacing w:val="-2"/>
                <w:kern w:val="0"/>
                <w:sz w:val="24"/>
                <w:szCs w:val="24"/>
                <w:highlight w:val="none"/>
                <w:lang w:val="en-US" w:eastAsia="zh-CN" w:bidi="ar"/>
              </w:rPr>
              <w:t>分</w:t>
            </w:r>
          </w:p>
        </w:tc>
        <w:tc>
          <w:tcPr>
            <w:tcW w:w="7871" w:type="dxa"/>
            <w:tcBorders>
              <w:top w:val="single" w:color="auto" w:sz="4" w:space="0"/>
              <w:left w:val="single" w:color="auto" w:sz="4" w:space="0"/>
              <w:bottom w:val="single" w:color="000000" w:sz="2" w:space="0"/>
              <w:right w:val="single" w:color="000000" w:sz="2" w:space="0"/>
            </w:tcBorders>
            <w:shd w:val="clear" w:color="auto" w:fill="auto"/>
            <w:noWrap w:val="0"/>
          </w:tcPr>
          <w:p w14:paraId="68DEE211">
            <w:pPr>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供应商提供项目实施总体方案</w:t>
            </w:r>
            <w:r>
              <w:rPr>
                <w:rFonts w:hint="eastAsia" w:ascii="宋体" w:hAnsi="宋体" w:cs="宋体"/>
                <w:color w:val="auto"/>
                <w:kern w:val="0"/>
                <w:sz w:val="24"/>
                <w:szCs w:val="24"/>
                <w:highlight w:val="none"/>
                <w:lang w:val="en-US" w:eastAsia="zh-CN"/>
              </w:rPr>
              <w:t>科学</w:t>
            </w:r>
            <w:r>
              <w:rPr>
                <w:rFonts w:hint="eastAsia" w:ascii="宋体" w:hAnsi="宋体" w:eastAsia="宋体" w:cs="宋体"/>
                <w:color w:val="auto"/>
                <w:kern w:val="0"/>
                <w:sz w:val="24"/>
                <w:szCs w:val="24"/>
                <w:highlight w:val="none"/>
              </w:rPr>
              <w:t>性、</w:t>
            </w:r>
            <w:r>
              <w:rPr>
                <w:rFonts w:hint="eastAsia" w:ascii="宋体" w:hAnsi="宋体" w:cs="宋体"/>
                <w:color w:val="auto"/>
                <w:kern w:val="0"/>
                <w:sz w:val="24"/>
                <w:szCs w:val="24"/>
                <w:highlight w:val="none"/>
                <w:lang w:val="en-US" w:eastAsia="zh-CN"/>
              </w:rPr>
              <w:t>针对性</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操作性</w:t>
            </w:r>
            <w:r>
              <w:rPr>
                <w:rFonts w:hint="eastAsia" w:ascii="宋体" w:hAnsi="宋体" w:eastAsia="宋体" w:cs="宋体"/>
                <w:color w:val="auto"/>
                <w:kern w:val="0"/>
                <w:sz w:val="24"/>
                <w:szCs w:val="24"/>
                <w:highlight w:val="none"/>
              </w:rPr>
              <w:t>等。</w:t>
            </w:r>
          </w:p>
          <w:p w14:paraId="5961C719">
            <w:pPr>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（1）总体方案详细，施工安排科学合理，方案针对性，操作性强的，得</w:t>
            </w:r>
            <w:r>
              <w:rPr>
                <w:rFonts w:hint="eastAsia" w:ascii="宋体" w:hAnsi="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分；</w:t>
            </w:r>
          </w:p>
          <w:p w14:paraId="2BEFE026">
            <w:pPr>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（2）总体方案较强，施工安排合理，方案针对性、操作性较强的，得</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p>
          <w:p w14:paraId="6556E2E0">
            <w:pPr>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（3）总体方案一般，施工安排基本合理，方案针对性、操作性一般的，得</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分；</w:t>
            </w:r>
          </w:p>
          <w:p w14:paraId="70964CD3">
            <w:pPr>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（4）总体方案简单，施工安排不合理，方案针对性，操作性较差的，得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52E87CF0">
            <w:pPr>
              <w:ind w:firstLine="42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未见阐述不得分。</w:t>
            </w:r>
          </w:p>
        </w:tc>
      </w:tr>
      <w:tr w14:paraId="68B924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trPr>
        <w:tc>
          <w:tcPr>
            <w:tcW w:w="1731" w:type="dxa"/>
            <w:tcBorders>
              <w:top w:val="single" w:color="auto" w:sz="4" w:space="0"/>
              <w:left w:val="single" w:color="000000" w:sz="2" w:space="0"/>
              <w:bottom w:val="single" w:color="000000" w:sz="2" w:space="0"/>
              <w:right w:val="single" w:color="000000" w:sz="2" w:space="0"/>
            </w:tcBorders>
            <w:shd w:val="clear" w:color="auto" w:fill="auto"/>
            <w:noWrap w:val="0"/>
            <w:vAlign w:val="center"/>
          </w:tcPr>
          <w:p w14:paraId="3C59709E">
            <w:pPr>
              <w:widowControl/>
              <w:spacing w:line="360" w:lineRule="auto"/>
              <w:jc w:val="center"/>
              <w:rPr>
                <w:rFonts w:hint="default" w:ascii="宋体" w:hAnsi="宋体" w:eastAsia="宋体" w:cs="宋体"/>
                <w:color w:val="auto"/>
                <w:kern w:val="0"/>
                <w:sz w:val="24"/>
                <w:szCs w:val="24"/>
                <w:highlight w:val="none"/>
              </w:rPr>
            </w:pPr>
          </w:p>
          <w:p w14:paraId="160DE5F8">
            <w:pPr>
              <w:widowControl/>
              <w:spacing w:beforeAutospacing="0" w:afterAutospacing="0" w:line="360" w:lineRule="auto"/>
              <w:jc w:val="center"/>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难点、重点及</w:t>
            </w:r>
            <w:r>
              <w:rPr>
                <w:rFonts w:hint="eastAsia" w:ascii="宋体" w:hAnsi="宋体" w:eastAsia="宋体" w:cs="宋体"/>
                <w:b/>
                <w:bCs/>
                <w:color w:val="auto"/>
                <w:kern w:val="0"/>
                <w:sz w:val="24"/>
                <w:szCs w:val="24"/>
                <w:highlight w:val="none"/>
                <w:lang w:val="en-US" w:eastAsia="zh-CN" w:bidi="ar-SA"/>
              </w:rPr>
              <w:t>合理化建议</w:t>
            </w:r>
            <w:r>
              <w:rPr>
                <w:rFonts w:hint="eastAsia" w:ascii="宋体" w:hAnsi="宋体" w:cs="宋体"/>
                <w:b/>
                <w:bCs/>
                <w:color w:val="auto"/>
                <w:kern w:val="0"/>
                <w:sz w:val="24"/>
                <w:szCs w:val="24"/>
                <w:highlight w:val="none"/>
                <w:lang w:val="en-US" w:eastAsia="zh-CN" w:bidi="ar-SA"/>
              </w:rPr>
              <w:t>8</w:t>
            </w:r>
            <w:r>
              <w:rPr>
                <w:rFonts w:hint="eastAsia" w:ascii="宋体" w:hAnsi="宋体" w:eastAsia="宋体" w:cs="宋体"/>
                <w:b/>
                <w:bCs/>
                <w:color w:val="auto"/>
                <w:spacing w:val="-3"/>
                <w:kern w:val="0"/>
                <w:sz w:val="24"/>
                <w:szCs w:val="24"/>
                <w:highlight w:val="none"/>
                <w:lang w:val="en-US" w:eastAsia="zh-CN" w:bidi="ar"/>
              </w:rPr>
              <w:t>分</w:t>
            </w:r>
          </w:p>
        </w:tc>
        <w:tc>
          <w:tcPr>
            <w:tcW w:w="7871" w:type="dxa"/>
            <w:tcBorders>
              <w:top w:val="single" w:color="000000" w:sz="2" w:space="0"/>
              <w:left w:val="single" w:color="000000" w:sz="2" w:space="0"/>
              <w:bottom w:val="single" w:color="000000" w:sz="2" w:space="0"/>
              <w:right w:val="single" w:color="000000" w:sz="2" w:space="0"/>
            </w:tcBorders>
            <w:shd w:val="clear" w:color="auto" w:fill="auto"/>
            <w:noWrap w:val="0"/>
          </w:tcPr>
          <w:p w14:paraId="122116C8">
            <w:pPr>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供应商针对本项目关键施工技术的难点、重点的分析及针对性合理化建议（措施）的科学性、</w:t>
            </w:r>
            <w:r>
              <w:rPr>
                <w:rFonts w:hint="eastAsia" w:ascii="宋体" w:hAnsi="宋体" w:eastAsia="宋体" w:cs="宋体"/>
                <w:color w:val="auto"/>
                <w:kern w:val="0"/>
                <w:sz w:val="24"/>
                <w:szCs w:val="24"/>
                <w:highlight w:val="none"/>
                <w:lang w:val="en-US" w:eastAsia="zh-CN"/>
              </w:rPr>
              <w:t>先进</w:t>
            </w:r>
            <w:r>
              <w:rPr>
                <w:rFonts w:hint="eastAsia" w:ascii="宋体" w:hAnsi="宋体" w:eastAsia="宋体" w:cs="宋体"/>
                <w:color w:val="auto"/>
                <w:kern w:val="0"/>
                <w:sz w:val="24"/>
                <w:szCs w:val="24"/>
                <w:highlight w:val="none"/>
              </w:rPr>
              <w:t>性、</w:t>
            </w:r>
            <w:r>
              <w:rPr>
                <w:rFonts w:hint="eastAsia" w:ascii="宋体" w:hAnsi="宋体" w:eastAsia="宋体" w:cs="宋体"/>
                <w:color w:val="auto"/>
                <w:kern w:val="0"/>
                <w:sz w:val="24"/>
                <w:szCs w:val="24"/>
                <w:highlight w:val="none"/>
                <w:lang w:val="en-US" w:eastAsia="zh-CN"/>
              </w:rPr>
              <w:t>针对</w:t>
            </w:r>
            <w:r>
              <w:rPr>
                <w:rFonts w:hint="eastAsia" w:ascii="宋体" w:hAnsi="宋体" w:eastAsia="宋体" w:cs="宋体"/>
                <w:color w:val="auto"/>
                <w:kern w:val="0"/>
                <w:sz w:val="24"/>
                <w:szCs w:val="24"/>
                <w:highlight w:val="none"/>
              </w:rPr>
              <w:t>性、</w:t>
            </w:r>
            <w:r>
              <w:rPr>
                <w:rFonts w:hint="eastAsia" w:ascii="宋体" w:hAnsi="宋体" w:eastAsia="宋体" w:cs="宋体"/>
                <w:color w:val="auto"/>
                <w:kern w:val="0"/>
                <w:sz w:val="24"/>
                <w:szCs w:val="24"/>
                <w:highlight w:val="none"/>
                <w:lang w:val="en-US" w:eastAsia="zh-CN"/>
              </w:rPr>
              <w:t>可操作</w:t>
            </w:r>
            <w:r>
              <w:rPr>
                <w:rFonts w:hint="eastAsia" w:ascii="宋体" w:hAnsi="宋体" w:eastAsia="宋体" w:cs="宋体"/>
                <w:color w:val="auto"/>
                <w:kern w:val="0"/>
                <w:sz w:val="24"/>
                <w:szCs w:val="24"/>
                <w:highlight w:val="none"/>
              </w:rPr>
              <w:t>性等。</w:t>
            </w:r>
          </w:p>
          <w:p w14:paraId="7093ED00">
            <w:pPr>
              <w:ind w:firstLine="42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（1）非常合理科学、先进性强、针对性强、可操作性强的，得</w:t>
            </w:r>
            <w:r>
              <w:rPr>
                <w:rFonts w:hint="eastAsia" w:ascii="宋体" w:hAnsi="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lang w:val="en-US" w:eastAsia="zh-CN"/>
              </w:rPr>
              <w:t>分；</w:t>
            </w:r>
          </w:p>
          <w:p w14:paraId="3CF990ED">
            <w:pPr>
              <w:ind w:firstLine="42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（2）较为合理得当、先进性较强、针对性较强、可操作性较强，符合实际需求的，得</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val="en-US" w:eastAsia="zh-CN"/>
              </w:rPr>
              <w:t>分；</w:t>
            </w:r>
          </w:p>
          <w:p w14:paraId="68941984">
            <w:pPr>
              <w:ind w:firstLine="42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（3）基本合理得当、先进性一般、针对性一般、基本符合实际需求的，得</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en-US" w:eastAsia="zh-CN"/>
              </w:rPr>
              <w:t>分。</w:t>
            </w:r>
          </w:p>
          <w:p w14:paraId="527F1DAA">
            <w:pPr>
              <w:ind w:firstLine="42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（4）合理性、先进性、针对性较差，不太符合实际需求的，得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en-US" w:eastAsia="zh-CN"/>
              </w:rPr>
              <w:t>分。</w:t>
            </w:r>
          </w:p>
          <w:p w14:paraId="73098BA4">
            <w:pPr>
              <w:ind w:firstLine="420"/>
              <w:rPr>
                <w:rFonts w:hint="default" w:ascii="黑体" w:hAnsi="黑体" w:eastAsia="黑体" w:cs="Times New Roman"/>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未见阐述不得分。</w:t>
            </w:r>
          </w:p>
        </w:tc>
      </w:tr>
      <w:tr w14:paraId="0DB508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1731"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787760C6">
            <w:pPr>
              <w:widowControl/>
              <w:spacing w:beforeAutospacing="0" w:afterAutospacing="0" w:line="360" w:lineRule="auto"/>
              <w:jc w:val="center"/>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 xml:space="preserve">施工进度计划和各阶段进度的保证措施 </w:t>
            </w:r>
            <w:r>
              <w:rPr>
                <w:rFonts w:hint="eastAsia" w:ascii="宋体" w:hAnsi="宋体" w:cs="宋体"/>
                <w:b/>
                <w:color w:val="auto"/>
                <w:kern w:val="0"/>
                <w:sz w:val="24"/>
                <w:szCs w:val="24"/>
                <w:highlight w:val="none"/>
                <w:lang w:val="en-US" w:eastAsia="zh-CN" w:bidi="ar-SA"/>
              </w:rPr>
              <w:t>8</w:t>
            </w:r>
            <w:r>
              <w:rPr>
                <w:rFonts w:hint="eastAsia" w:ascii="宋体" w:hAnsi="宋体" w:eastAsia="宋体" w:cs="宋体"/>
                <w:b/>
                <w:bCs/>
                <w:color w:val="auto"/>
                <w:spacing w:val="-3"/>
                <w:kern w:val="0"/>
                <w:sz w:val="24"/>
                <w:szCs w:val="24"/>
                <w:highlight w:val="none"/>
                <w:lang w:val="en-US" w:eastAsia="zh-CN" w:bidi="ar"/>
              </w:rPr>
              <w:t>分</w:t>
            </w:r>
          </w:p>
        </w:tc>
        <w:tc>
          <w:tcPr>
            <w:tcW w:w="7871" w:type="dxa"/>
            <w:tcBorders>
              <w:top w:val="single" w:color="000000" w:sz="2" w:space="0"/>
              <w:left w:val="single" w:color="000000" w:sz="2" w:space="0"/>
              <w:bottom w:val="single" w:color="000000" w:sz="2" w:space="0"/>
              <w:right w:val="single" w:color="000000" w:sz="2" w:space="0"/>
            </w:tcBorders>
            <w:shd w:val="clear" w:color="auto" w:fill="auto"/>
            <w:noWrap w:val="0"/>
          </w:tcPr>
          <w:p w14:paraId="0FFD8E05">
            <w:pPr>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供应商针对本项目施工进度计划编制的合理性及</w:t>
            </w:r>
            <w:r>
              <w:rPr>
                <w:rFonts w:hint="eastAsia" w:ascii="宋体" w:hAnsi="宋体" w:eastAsia="宋体" w:cs="宋体"/>
                <w:color w:val="auto"/>
                <w:kern w:val="0"/>
                <w:sz w:val="24"/>
                <w:szCs w:val="24"/>
                <w:highlight w:val="none"/>
                <w:lang w:val="en-US" w:eastAsia="zh-CN"/>
              </w:rPr>
              <w:t>保证措施</w:t>
            </w:r>
            <w:r>
              <w:rPr>
                <w:rFonts w:hint="eastAsia" w:ascii="宋体" w:hAnsi="宋体" w:eastAsia="宋体" w:cs="宋体"/>
                <w:color w:val="auto"/>
                <w:kern w:val="0"/>
                <w:sz w:val="24"/>
                <w:szCs w:val="24"/>
                <w:highlight w:val="none"/>
              </w:rPr>
              <w:t>等。</w:t>
            </w:r>
          </w:p>
          <w:p w14:paraId="4D333003">
            <w:pPr>
              <w:ind w:firstLine="420"/>
              <w:rPr>
                <w:rFonts w:hint="eastAsia" w:ascii="宋体" w:hAnsi="宋体" w:eastAsia="宋体" w:cs="宋体"/>
                <w:color w:val="auto"/>
                <w:kern w:val="0"/>
                <w:sz w:val="24"/>
                <w:szCs w:val="24"/>
                <w:highlight w:val="none"/>
              </w:rPr>
            </w:pPr>
            <w:r>
              <w:rPr>
                <w:rFonts w:hint="default" w:ascii="宋体" w:hAnsi="宋体" w:eastAsia="宋体" w:cs="宋体"/>
                <w:color w:val="auto"/>
                <w:kern w:val="0"/>
                <w:sz w:val="24"/>
                <w:szCs w:val="24"/>
                <w:highlight w:val="none"/>
              </w:rPr>
              <w:t>（1）进度计划合理、保证措施有力的，得</w:t>
            </w:r>
            <w:r>
              <w:rPr>
                <w:rFonts w:hint="eastAsia" w:ascii="宋体" w:hAnsi="宋体" w:cs="宋体"/>
                <w:color w:val="auto"/>
                <w:kern w:val="0"/>
                <w:sz w:val="24"/>
                <w:szCs w:val="24"/>
                <w:highlight w:val="none"/>
                <w:lang w:val="en-US" w:eastAsia="zh-CN"/>
              </w:rPr>
              <w:t>8</w:t>
            </w:r>
            <w:r>
              <w:rPr>
                <w:rFonts w:hint="default" w:ascii="宋体" w:hAnsi="宋体" w:eastAsia="宋体" w:cs="宋体"/>
                <w:color w:val="auto"/>
                <w:kern w:val="0"/>
                <w:sz w:val="24"/>
                <w:szCs w:val="24"/>
                <w:highlight w:val="none"/>
              </w:rPr>
              <w:t>分；</w:t>
            </w:r>
          </w:p>
          <w:p w14:paraId="20B173DA">
            <w:pPr>
              <w:ind w:firstLine="420"/>
              <w:rPr>
                <w:rFonts w:hint="eastAsia" w:ascii="宋体" w:hAnsi="宋体" w:eastAsia="宋体" w:cs="宋体"/>
                <w:color w:val="auto"/>
                <w:kern w:val="0"/>
                <w:sz w:val="24"/>
                <w:szCs w:val="24"/>
                <w:highlight w:val="none"/>
              </w:rPr>
            </w:pPr>
            <w:r>
              <w:rPr>
                <w:rFonts w:hint="default" w:ascii="宋体" w:hAnsi="宋体" w:eastAsia="宋体" w:cs="宋体"/>
                <w:color w:val="auto"/>
                <w:kern w:val="0"/>
                <w:sz w:val="24"/>
                <w:szCs w:val="24"/>
                <w:highlight w:val="none"/>
              </w:rPr>
              <w:t>（2）进度计划较合理、保证措施较有力的，得</w:t>
            </w:r>
            <w:r>
              <w:rPr>
                <w:rFonts w:hint="eastAsia" w:ascii="宋体" w:hAnsi="宋体" w:cs="宋体"/>
                <w:color w:val="auto"/>
                <w:kern w:val="0"/>
                <w:sz w:val="24"/>
                <w:szCs w:val="24"/>
                <w:highlight w:val="none"/>
                <w:lang w:val="en-US" w:eastAsia="zh-CN"/>
              </w:rPr>
              <w:t>6</w:t>
            </w:r>
            <w:r>
              <w:rPr>
                <w:rFonts w:hint="default" w:ascii="宋体" w:hAnsi="宋体" w:eastAsia="宋体" w:cs="宋体"/>
                <w:color w:val="auto"/>
                <w:kern w:val="0"/>
                <w:sz w:val="24"/>
                <w:szCs w:val="24"/>
                <w:highlight w:val="none"/>
              </w:rPr>
              <w:t>分；</w:t>
            </w:r>
          </w:p>
          <w:p w14:paraId="2EF0829D">
            <w:pPr>
              <w:ind w:firstLine="420"/>
              <w:rPr>
                <w:rFonts w:hint="eastAsia" w:ascii="宋体" w:hAnsi="宋体" w:eastAsia="宋体" w:cs="宋体"/>
                <w:color w:val="auto"/>
                <w:kern w:val="0"/>
                <w:sz w:val="24"/>
                <w:szCs w:val="24"/>
                <w:highlight w:val="none"/>
              </w:rPr>
            </w:pPr>
            <w:r>
              <w:rPr>
                <w:rFonts w:hint="default" w:ascii="宋体" w:hAnsi="宋体" w:eastAsia="宋体" w:cs="宋体"/>
                <w:color w:val="auto"/>
                <w:kern w:val="0"/>
                <w:sz w:val="24"/>
                <w:szCs w:val="24"/>
                <w:highlight w:val="none"/>
              </w:rPr>
              <w:t>（3）进度计划一般、保证措施一般的，得</w:t>
            </w:r>
            <w:r>
              <w:rPr>
                <w:rFonts w:hint="eastAsia" w:ascii="宋体" w:hAnsi="宋体" w:cs="宋体"/>
                <w:color w:val="auto"/>
                <w:kern w:val="0"/>
                <w:sz w:val="24"/>
                <w:szCs w:val="24"/>
                <w:highlight w:val="none"/>
                <w:lang w:val="en-US" w:eastAsia="zh-CN"/>
              </w:rPr>
              <w:t>4</w:t>
            </w:r>
            <w:r>
              <w:rPr>
                <w:rFonts w:hint="default" w:ascii="宋体" w:hAnsi="宋体" w:eastAsia="宋体" w:cs="宋体"/>
                <w:color w:val="auto"/>
                <w:kern w:val="0"/>
                <w:sz w:val="24"/>
                <w:szCs w:val="24"/>
                <w:highlight w:val="none"/>
              </w:rPr>
              <w:t>分。</w:t>
            </w:r>
          </w:p>
          <w:p w14:paraId="25ED87F2">
            <w:pPr>
              <w:ind w:firstLine="420"/>
              <w:rPr>
                <w:rFonts w:hint="eastAsia" w:ascii="宋体" w:hAnsi="宋体" w:eastAsia="宋体" w:cs="宋体"/>
                <w:color w:val="auto"/>
                <w:kern w:val="0"/>
                <w:sz w:val="24"/>
                <w:szCs w:val="24"/>
                <w:highlight w:val="none"/>
              </w:rPr>
            </w:pPr>
            <w:r>
              <w:rPr>
                <w:rFonts w:hint="default" w:ascii="宋体" w:hAnsi="宋体" w:eastAsia="宋体" w:cs="宋体"/>
                <w:color w:val="auto"/>
                <w:kern w:val="0"/>
                <w:sz w:val="24"/>
                <w:szCs w:val="24"/>
                <w:highlight w:val="none"/>
              </w:rPr>
              <w:t>（4）进度计划、保证措施较差的，的</w:t>
            </w:r>
            <w:r>
              <w:rPr>
                <w:rFonts w:hint="eastAsia" w:ascii="宋体" w:hAnsi="宋体" w:cs="宋体"/>
                <w:color w:val="auto"/>
                <w:kern w:val="0"/>
                <w:sz w:val="24"/>
                <w:szCs w:val="24"/>
                <w:highlight w:val="none"/>
                <w:lang w:val="en-US" w:eastAsia="zh-CN"/>
              </w:rPr>
              <w:t>2</w:t>
            </w:r>
            <w:r>
              <w:rPr>
                <w:rFonts w:hint="default" w:ascii="宋体" w:hAnsi="宋体" w:eastAsia="宋体" w:cs="宋体"/>
                <w:color w:val="auto"/>
                <w:kern w:val="0"/>
                <w:sz w:val="24"/>
                <w:szCs w:val="24"/>
                <w:highlight w:val="none"/>
              </w:rPr>
              <w:t>分；</w:t>
            </w:r>
          </w:p>
          <w:p w14:paraId="621E7D45">
            <w:pPr>
              <w:ind w:firstLine="42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未见阐述不得分。</w:t>
            </w:r>
          </w:p>
        </w:tc>
      </w:tr>
      <w:tr w14:paraId="37A16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6" w:hRule="atLeast"/>
        </w:trPr>
        <w:tc>
          <w:tcPr>
            <w:tcW w:w="1731"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20FBA7BB">
            <w:pPr>
              <w:keepNext w:val="0"/>
              <w:keepLines w:val="0"/>
              <w:pageBreakBefore w:val="0"/>
              <w:widowControl/>
              <w:spacing w:beforeAutospacing="0" w:afterAutospacing="0" w:line="360" w:lineRule="auto"/>
              <w:jc w:val="center"/>
              <w:rPr>
                <w:rFonts w:hint="default" w:ascii="宋体" w:hAnsi="宋体" w:eastAsia="宋体" w:cs="Times New Roman"/>
                <w:b/>
                <w:color w:val="auto"/>
                <w:spacing w:val="-4"/>
                <w:kern w:val="0"/>
                <w:sz w:val="24"/>
                <w:szCs w:val="24"/>
                <w:highlight w:val="none"/>
                <w:lang w:val="en-US" w:eastAsia="zh-CN" w:bidi="ar-SA"/>
              </w:rPr>
            </w:pPr>
            <w:r>
              <w:rPr>
                <w:rFonts w:hint="eastAsia" w:ascii="宋体" w:hAnsi="宋体" w:eastAsia="宋体" w:cs="Times New Roman"/>
                <w:b/>
                <w:color w:val="auto"/>
                <w:spacing w:val="-4"/>
                <w:kern w:val="0"/>
                <w:sz w:val="24"/>
                <w:szCs w:val="24"/>
                <w:highlight w:val="none"/>
                <w:lang w:val="en-US" w:eastAsia="zh-CN" w:bidi="ar-SA"/>
              </w:rPr>
              <w:t>安全文明施工及环境保护措施</w:t>
            </w:r>
            <w:r>
              <w:rPr>
                <w:rFonts w:hint="eastAsia" w:ascii="宋体" w:hAnsi="宋体" w:cs="Times New Roman"/>
                <w:b/>
                <w:color w:val="auto"/>
                <w:spacing w:val="-4"/>
                <w:kern w:val="0"/>
                <w:sz w:val="24"/>
                <w:szCs w:val="24"/>
                <w:highlight w:val="none"/>
                <w:lang w:val="en-US" w:eastAsia="zh-CN" w:bidi="ar-SA"/>
              </w:rPr>
              <w:t>8</w:t>
            </w:r>
            <w:r>
              <w:rPr>
                <w:rFonts w:hint="eastAsia" w:ascii="宋体" w:hAnsi="宋体" w:eastAsia="宋体" w:cs="Times New Roman"/>
                <w:b/>
                <w:color w:val="auto"/>
                <w:spacing w:val="-4"/>
                <w:kern w:val="0"/>
                <w:sz w:val="24"/>
                <w:szCs w:val="24"/>
                <w:highlight w:val="none"/>
                <w:lang w:val="en-US" w:eastAsia="zh-CN" w:bidi="ar-SA"/>
              </w:rPr>
              <w:t>分</w:t>
            </w:r>
          </w:p>
        </w:tc>
        <w:tc>
          <w:tcPr>
            <w:tcW w:w="7871" w:type="dxa"/>
            <w:tcBorders>
              <w:top w:val="single" w:color="000000" w:sz="2" w:space="0"/>
              <w:left w:val="single" w:color="000000" w:sz="2" w:space="0"/>
              <w:bottom w:val="single" w:color="000000" w:sz="2" w:space="0"/>
              <w:right w:val="single" w:color="000000" w:sz="2" w:space="0"/>
            </w:tcBorders>
            <w:shd w:val="clear" w:color="auto" w:fill="auto"/>
            <w:noWrap w:val="0"/>
          </w:tcPr>
          <w:p w14:paraId="639B351E">
            <w:pPr>
              <w:ind w:firstLine="42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供应商提供</w:t>
            </w:r>
            <w:r>
              <w:rPr>
                <w:rFonts w:hint="eastAsia" w:ascii="宋体" w:hAnsi="宋体" w:eastAsia="宋体" w:cs="宋体"/>
                <w:color w:val="auto"/>
                <w:kern w:val="0"/>
                <w:sz w:val="24"/>
                <w:szCs w:val="24"/>
                <w:highlight w:val="none"/>
                <w:lang w:val="en-US" w:eastAsia="zh-CN"/>
              </w:rPr>
              <w:t>安全文明施工及环境保护措施</w:t>
            </w:r>
            <w:r>
              <w:rPr>
                <w:rFonts w:hint="eastAsia" w:ascii="宋体" w:hAnsi="宋体" w:cs="宋体"/>
                <w:color w:val="auto"/>
                <w:kern w:val="0"/>
                <w:sz w:val="24"/>
                <w:szCs w:val="24"/>
                <w:highlight w:val="none"/>
                <w:lang w:val="en-US" w:eastAsia="zh-CN"/>
              </w:rPr>
              <w:t>的</w:t>
            </w:r>
            <w:r>
              <w:rPr>
                <w:rFonts w:hint="eastAsia" w:ascii="宋体" w:hAnsi="宋体" w:eastAsia="宋体" w:cs="宋体"/>
                <w:color w:val="auto"/>
                <w:kern w:val="0"/>
                <w:sz w:val="24"/>
                <w:szCs w:val="24"/>
                <w:highlight w:val="none"/>
              </w:rPr>
              <w:t>科学性、合理性、全面性、可行性等。</w:t>
            </w:r>
          </w:p>
          <w:p w14:paraId="55A0A866">
            <w:pPr>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（1）管理措施科学合理，内容详细完整，全面性、针对性、可实施性强的，得</w:t>
            </w:r>
            <w:r>
              <w:rPr>
                <w:rFonts w:hint="eastAsia" w:ascii="宋体" w:hAnsi="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分；</w:t>
            </w:r>
          </w:p>
          <w:p w14:paraId="3190C26B">
            <w:pPr>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（2）管理措施较为科学合理，内容较为详细完整，较为全面、针对性、可实施性较强的，得</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p>
          <w:p w14:paraId="2EA3E8A8">
            <w:pPr>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（3）管理措施基本合理，内容不太详细、不完整，</w:t>
            </w:r>
            <w:r>
              <w:rPr>
                <w:rFonts w:hint="eastAsia" w:ascii="宋体" w:hAnsi="宋体" w:cs="宋体"/>
                <w:color w:val="auto"/>
                <w:kern w:val="0"/>
                <w:sz w:val="24"/>
                <w:szCs w:val="24"/>
                <w:highlight w:val="none"/>
                <w:lang w:val="en-US" w:eastAsia="zh-CN"/>
              </w:rPr>
              <w:t>针对性、</w:t>
            </w:r>
            <w:r>
              <w:rPr>
                <w:rFonts w:hint="eastAsia" w:ascii="宋体" w:hAnsi="宋体" w:eastAsia="宋体" w:cs="宋体"/>
                <w:color w:val="auto"/>
                <w:kern w:val="0"/>
                <w:sz w:val="24"/>
                <w:szCs w:val="24"/>
                <w:highlight w:val="none"/>
              </w:rPr>
              <w:t>可实施性一般的，得</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分；</w:t>
            </w:r>
          </w:p>
          <w:p w14:paraId="3F1B326B">
            <w:pPr>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（4）管理措施合理性，完整性、针对性、可行性较差，内容不详细的，得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6CB4D6D1">
            <w:pPr>
              <w:ind w:firstLine="42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未见阐述不得分。</w:t>
            </w:r>
          </w:p>
        </w:tc>
      </w:tr>
      <w:tr w14:paraId="05E921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1731" w:type="dxa"/>
            <w:tcBorders>
              <w:top w:val="single" w:color="000000" w:sz="2" w:space="0"/>
              <w:left w:val="single" w:color="000000" w:sz="2" w:space="0"/>
              <w:bottom w:val="single" w:color="000000" w:sz="2" w:space="0"/>
              <w:right w:val="single" w:color="000000" w:sz="2" w:space="0"/>
            </w:tcBorders>
            <w:shd w:val="clear" w:color="auto" w:fill="auto"/>
            <w:noWrap w:val="0"/>
          </w:tcPr>
          <w:p w14:paraId="0593CBAA">
            <w:pPr>
              <w:keepNext w:val="0"/>
              <w:keepLines w:val="0"/>
              <w:pageBreakBefore w:val="0"/>
              <w:widowControl/>
              <w:spacing w:beforeAutospacing="0" w:afterAutospacing="0" w:line="360" w:lineRule="auto"/>
              <w:jc w:val="center"/>
              <w:rPr>
                <w:rFonts w:hint="eastAsia" w:ascii="宋体" w:hAnsi="宋体" w:eastAsia="宋体" w:cs="Times New Roman"/>
                <w:b/>
                <w:color w:val="auto"/>
                <w:spacing w:val="-4"/>
                <w:kern w:val="0"/>
                <w:sz w:val="24"/>
                <w:szCs w:val="24"/>
                <w:highlight w:val="none"/>
                <w:lang w:val="en-US" w:eastAsia="zh-CN" w:bidi="ar-SA"/>
              </w:rPr>
            </w:pPr>
            <w:r>
              <w:rPr>
                <w:rFonts w:hint="eastAsia" w:ascii="宋体" w:hAnsi="宋体" w:eastAsia="宋体" w:cs="Times New Roman"/>
                <w:b/>
                <w:color w:val="auto"/>
                <w:spacing w:val="-4"/>
                <w:kern w:val="0"/>
                <w:sz w:val="24"/>
                <w:szCs w:val="24"/>
                <w:highlight w:val="none"/>
                <w:lang w:val="en-US" w:eastAsia="zh-CN" w:bidi="ar-SA"/>
              </w:rPr>
              <w:t>现场管理方案</w:t>
            </w:r>
          </w:p>
          <w:p w14:paraId="4C5BA2E3">
            <w:pPr>
              <w:keepNext w:val="0"/>
              <w:keepLines w:val="0"/>
              <w:pageBreakBefore w:val="0"/>
              <w:widowControl/>
              <w:spacing w:beforeAutospacing="0" w:afterAutospacing="0" w:line="360" w:lineRule="auto"/>
              <w:jc w:val="center"/>
              <w:rPr>
                <w:rFonts w:hint="default" w:ascii="宋体" w:hAnsi="宋体" w:eastAsia="宋体" w:cs="Times New Roman"/>
                <w:b/>
                <w:color w:val="auto"/>
                <w:spacing w:val="-4"/>
                <w:kern w:val="0"/>
                <w:sz w:val="24"/>
                <w:szCs w:val="24"/>
                <w:highlight w:val="none"/>
                <w:lang w:val="en-US" w:eastAsia="zh-CN" w:bidi="ar-SA"/>
              </w:rPr>
            </w:pPr>
            <w:r>
              <w:rPr>
                <w:rFonts w:hint="eastAsia" w:ascii="宋体" w:hAnsi="宋体" w:cs="Times New Roman"/>
                <w:b/>
                <w:color w:val="auto"/>
                <w:spacing w:val="-4"/>
                <w:kern w:val="0"/>
                <w:sz w:val="24"/>
                <w:szCs w:val="24"/>
                <w:highlight w:val="none"/>
                <w:lang w:val="en-US" w:eastAsia="zh-CN" w:bidi="ar-SA"/>
              </w:rPr>
              <w:t>8</w:t>
            </w:r>
            <w:r>
              <w:rPr>
                <w:rFonts w:hint="eastAsia" w:ascii="宋体" w:hAnsi="宋体" w:eastAsia="宋体" w:cs="Times New Roman"/>
                <w:b/>
                <w:color w:val="auto"/>
                <w:spacing w:val="-4"/>
                <w:kern w:val="0"/>
                <w:sz w:val="24"/>
                <w:szCs w:val="24"/>
                <w:highlight w:val="none"/>
                <w:lang w:val="en-US" w:eastAsia="zh-CN" w:bidi="ar-SA"/>
              </w:rPr>
              <w:t>分</w:t>
            </w:r>
          </w:p>
        </w:tc>
        <w:tc>
          <w:tcPr>
            <w:tcW w:w="7871" w:type="dxa"/>
            <w:tcBorders>
              <w:top w:val="single" w:color="000000" w:sz="2" w:space="0"/>
              <w:left w:val="single" w:color="000000" w:sz="2" w:space="0"/>
              <w:bottom w:val="single" w:color="000000" w:sz="2" w:space="0"/>
              <w:right w:val="single" w:color="000000" w:sz="2" w:space="0"/>
            </w:tcBorders>
            <w:shd w:val="clear" w:color="auto" w:fill="auto"/>
            <w:noWrap w:val="0"/>
          </w:tcPr>
          <w:p w14:paraId="38B3F467">
            <w:pPr>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供应商提供针对本项目现场管理的科学性、规范性、全面性、可行性及合理性等。</w:t>
            </w:r>
          </w:p>
          <w:p w14:paraId="7A158234">
            <w:pPr>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现场管理的科学性、规范性、全面性、可行性及合理性强：得</w:t>
            </w:r>
            <w:r>
              <w:rPr>
                <w:rFonts w:hint="eastAsia" w:ascii="宋体" w:hAnsi="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分。</w:t>
            </w:r>
          </w:p>
          <w:p w14:paraId="0A32AA0D">
            <w:pPr>
              <w:ind w:firstLine="420"/>
              <w:rPr>
                <w:rFonts w:hint="eastAsia" w:ascii="Calibri" w:hAnsi="Calibri" w:eastAsia="宋体" w:cs="Times New Roman"/>
                <w:color w:val="auto"/>
                <w:kern w:val="0"/>
                <w:sz w:val="24"/>
                <w:szCs w:val="24"/>
                <w:highlight w:val="none"/>
              </w:rPr>
            </w:pPr>
            <w:r>
              <w:rPr>
                <w:rFonts w:hint="eastAsia" w:ascii="宋体" w:hAnsi="宋体" w:eastAsia="宋体" w:cs="宋体"/>
                <w:color w:val="auto"/>
                <w:kern w:val="0"/>
                <w:sz w:val="24"/>
                <w:szCs w:val="24"/>
                <w:highlight w:val="none"/>
              </w:rPr>
              <w:t>现场管理的科学性、规范性、全面性、可行性及合理性</w:t>
            </w:r>
            <w:r>
              <w:rPr>
                <w:rFonts w:hint="eastAsia" w:ascii="宋体" w:hAnsi="宋体" w:cs="宋体"/>
                <w:color w:val="auto"/>
                <w:kern w:val="0"/>
                <w:sz w:val="24"/>
                <w:szCs w:val="24"/>
                <w:highlight w:val="none"/>
                <w:lang w:val="en-US" w:eastAsia="zh-CN"/>
              </w:rPr>
              <w:t>较强</w:t>
            </w:r>
            <w:r>
              <w:rPr>
                <w:rFonts w:hint="eastAsia" w:ascii="宋体" w:hAnsi="宋体" w:eastAsia="宋体" w:cs="宋体"/>
                <w:color w:val="auto"/>
                <w:kern w:val="0"/>
                <w:sz w:val="24"/>
                <w:szCs w:val="24"/>
                <w:highlight w:val="none"/>
              </w:rPr>
              <w:t>：得</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p>
          <w:p w14:paraId="5742D7F5">
            <w:pPr>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现场管理的科学性、规范性、全面性、可行性及合理性</w:t>
            </w:r>
            <w:r>
              <w:rPr>
                <w:rFonts w:hint="eastAsia" w:ascii="宋体" w:hAnsi="宋体" w:cs="宋体"/>
                <w:color w:val="auto"/>
                <w:kern w:val="0"/>
                <w:sz w:val="24"/>
                <w:szCs w:val="24"/>
                <w:highlight w:val="none"/>
                <w:lang w:val="en-US" w:eastAsia="zh-CN"/>
              </w:rPr>
              <w:t>一般</w:t>
            </w:r>
            <w:r>
              <w:rPr>
                <w:rFonts w:hint="eastAsia" w:ascii="宋体" w:hAnsi="宋体" w:eastAsia="宋体" w:cs="宋体"/>
                <w:color w:val="auto"/>
                <w:kern w:val="0"/>
                <w:sz w:val="24"/>
                <w:szCs w:val="24"/>
                <w:highlight w:val="none"/>
              </w:rPr>
              <w:t>：得</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分。</w:t>
            </w:r>
          </w:p>
          <w:p w14:paraId="71600963">
            <w:pPr>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现场管理的科学性、规范性、全面性、可行性及合理性</w:t>
            </w:r>
            <w:r>
              <w:rPr>
                <w:rFonts w:hint="eastAsia" w:ascii="宋体" w:hAnsi="宋体" w:eastAsia="宋体" w:cs="宋体"/>
                <w:color w:val="auto"/>
                <w:kern w:val="0"/>
                <w:sz w:val="24"/>
                <w:szCs w:val="24"/>
                <w:highlight w:val="none"/>
                <w:lang w:val="en-US" w:eastAsia="zh-CN"/>
              </w:rPr>
              <w:t>差</w:t>
            </w:r>
            <w:r>
              <w:rPr>
                <w:rFonts w:hint="eastAsia" w:ascii="宋体" w:hAnsi="宋体" w:eastAsia="宋体" w:cs="宋体"/>
                <w:color w:val="auto"/>
                <w:kern w:val="0"/>
                <w:sz w:val="24"/>
                <w:szCs w:val="24"/>
                <w:highlight w:val="none"/>
              </w:rPr>
              <w:t>：得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53FAF03E">
            <w:pPr>
              <w:ind w:firstLine="420"/>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未见阐述不得分。</w:t>
            </w:r>
          </w:p>
        </w:tc>
      </w:tr>
      <w:tr w14:paraId="5D4411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1731"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3C3BDFFD">
            <w:pPr>
              <w:keepNext w:val="0"/>
              <w:keepLines w:val="0"/>
              <w:pageBreakBefore w:val="0"/>
              <w:widowControl/>
              <w:spacing w:beforeAutospacing="0" w:afterAutospacing="0" w:line="360" w:lineRule="auto"/>
              <w:jc w:val="center"/>
              <w:rPr>
                <w:rFonts w:hint="eastAsia" w:ascii="宋体" w:hAnsi="宋体" w:eastAsia="宋体" w:cs="Times New Roman"/>
                <w:b/>
                <w:color w:val="auto"/>
                <w:spacing w:val="-4"/>
                <w:kern w:val="0"/>
                <w:sz w:val="24"/>
                <w:szCs w:val="24"/>
                <w:highlight w:val="none"/>
                <w:lang w:val="en-US" w:eastAsia="zh-CN" w:bidi="ar-SA"/>
              </w:rPr>
            </w:pPr>
            <w:r>
              <w:rPr>
                <w:rFonts w:hint="eastAsia" w:ascii="宋体" w:hAnsi="宋体" w:eastAsia="宋体" w:cs="Times New Roman"/>
                <w:b/>
                <w:color w:val="auto"/>
                <w:spacing w:val="-4"/>
                <w:kern w:val="0"/>
                <w:sz w:val="24"/>
                <w:szCs w:val="24"/>
                <w:highlight w:val="none"/>
                <w:lang w:val="en-US" w:eastAsia="zh-CN" w:bidi="ar-SA"/>
              </w:rPr>
              <w:t>质量保修方案</w:t>
            </w:r>
          </w:p>
          <w:p w14:paraId="1F91910B">
            <w:pPr>
              <w:keepNext w:val="0"/>
              <w:keepLines w:val="0"/>
              <w:pageBreakBefore w:val="0"/>
              <w:widowControl/>
              <w:spacing w:beforeAutospacing="0" w:afterAutospacing="0" w:line="360" w:lineRule="auto"/>
              <w:jc w:val="center"/>
              <w:rPr>
                <w:rFonts w:hint="eastAsia" w:ascii="宋体" w:hAnsi="宋体" w:eastAsia="宋体" w:cs="Times New Roman"/>
                <w:b/>
                <w:color w:val="auto"/>
                <w:spacing w:val="-4"/>
                <w:kern w:val="0"/>
                <w:sz w:val="24"/>
                <w:szCs w:val="24"/>
                <w:highlight w:val="none"/>
                <w:lang w:val="en-US" w:eastAsia="zh-CN" w:bidi="ar-SA"/>
              </w:rPr>
            </w:pPr>
            <w:r>
              <w:rPr>
                <w:rFonts w:hint="eastAsia" w:ascii="宋体" w:hAnsi="宋体" w:cs="Times New Roman"/>
                <w:b/>
                <w:color w:val="auto"/>
                <w:spacing w:val="-4"/>
                <w:kern w:val="0"/>
                <w:sz w:val="24"/>
                <w:szCs w:val="24"/>
                <w:highlight w:val="none"/>
                <w:lang w:val="en-US" w:eastAsia="zh-CN" w:bidi="ar-SA"/>
              </w:rPr>
              <w:t>8</w:t>
            </w:r>
            <w:r>
              <w:rPr>
                <w:rFonts w:hint="eastAsia" w:ascii="宋体" w:hAnsi="宋体" w:eastAsia="宋体" w:cs="Times New Roman"/>
                <w:b/>
                <w:color w:val="auto"/>
                <w:spacing w:val="-4"/>
                <w:kern w:val="0"/>
                <w:sz w:val="24"/>
                <w:szCs w:val="24"/>
                <w:highlight w:val="none"/>
                <w:lang w:val="en-US" w:eastAsia="zh-CN" w:bidi="ar-SA"/>
              </w:rPr>
              <w:t>分</w:t>
            </w:r>
          </w:p>
        </w:tc>
        <w:tc>
          <w:tcPr>
            <w:tcW w:w="7871" w:type="dxa"/>
            <w:tcBorders>
              <w:top w:val="single" w:color="000000" w:sz="2" w:space="0"/>
              <w:left w:val="single" w:color="000000" w:sz="2" w:space="0"/>
              <w:bottom w:val="single" w:color="000000" w:sz="2" w:space="0"/>
              <w:right w:val="single" w:color="000000" w:sz="2" w:space="0"/>
            </w:tcBorders>
            <w:shd w:val="clear" w:color="auto" w:fill="auto"/>
            <w:noWrap w:val="0"/>
          </w:tcPr>
          <w:p w14:paraId="2A5D998D">
            <w:pPr>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包括但不限于保修服务及响应速度、服务内容、问题解决方案、响应时间、技术升级、专业技术人员保障及技术装备、备品备件等内容。</w:t>
            </w:r>
          </w:p>
          <w:p w14:paraId="596BD6C7">
            <w:pPr>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方案科学合理且可实施性强：得</w:t>
            </w:r>
            <w:r>
              <w:rPr>
                <w:rFonts w:hint="eastAsia" w:ascii="宋体" w:hAnsi="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分；</w:t>
            </w:r>
          </w:p>
          <w:p w14:paraId="093E31DD">
            <w:pPr>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方案较科学合理、可实施性较强的：</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p>
          <w:p w14:paraId="10C22716">
            <w:pPr>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方案一般、可实施性一般的：</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分；</w:t>
            </w:r>
          </w:p>
          <w:p w14:paraId="37203687">
            <w:pPr>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方案</w:t>
            </w:r>
            <w:r>
              <w:rPr>
                <w:rFonts w:hint="eastAsia" w:ascii="宋体" w:hAnsi="宋体" w:eastAsia="宋体" w:cs="宋体"/>
                <w:color w:val="auto"/>
                <w:kern w:val="0"/>
                <w:sz w:val="24"/>
                <w:szCs w:val="24"/>
                <w:highlight w:val="none"/>
                <w:lang w:val="en-US" w:eastAsia="zh-CN"/>
              </w:rPr>
              <w:t>差</w:t>
            </w:r>
            <w:r>
              <w:rPr>
                <w:rFonts w:hint="eastAsia" w:ascii="宋体" w:hAnsi="宋体" w:eastAsia="宋体" w:cs="宋体"/>
                <w:color w:val="auto"/>
                <w:kern w:val="0"/>
                <w:sz w:val="24"/>
                <w:szCs w:val="24"/>
                <w:highlight w:val="none"/>
              </w:rPr>
              <w:t>、可实施性</w:t>
            </w:r>
            <w:r>
              <w:rPr>
                <w:rFonts w:hint="eastAsia" w:ascii="宋体" w:hAnsi="宋体" w:eastAsia="宋体" w:cs="宋体"/>
                <w:color w:val="auto"/>
                <w:kern w:val="0"/>
                <w:sz w:val="24"/>
                <w:szCs w:val="24"/>
                <w:highlight w:val="none"/>
                <w:lang w:val="en-US" w:eastAsia="zh-CN"/>
              </w:rPr>
              <w:t>差</w:t>
            </w:r>
            <w:r>
              <w:rPr>
                <w:rFonts w:hint="eastAsia" w:ascii="宋体" w:hAnsi="宋体" w:eastAsia="宋体" w:cs="宋体"/>
                <w:color w:val="auto"/>
                <w:kern w:val="0"/>
                <w:sz w:val="24"/>
                <w:szCs w:val="24"/>
                <w:highlight w:val="none"/>
              </w:rPr>
              <w:t>的：</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5C7CDD97">
            <w:pPr>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未见阐述不得分。</w:t>
            </w:r>
          </w:p>
        </w:tc>
      </w:tr>
    </w:tbl>
    <w:p w14:paraId="128CD10E">
      <w:pPr>
        <w:pStyle w:val="2"/>
        <w:rPr>
          <w:rFonts w:hint="eastAsia"/>
          <w:lang w:val="en-US" w:eastAsia="zh-CN"/>
        </w:rPr>
      </w:pPr>
    </w:p>
    <w:p w14:paraId="5A4571F6">
      <w:pPr>
        <w:spacing w:line="360" w:lineRule="auto"/>
        <w:rPr>
          <w:rFonts w:ascii="宋体" w:hAnsi="宋体" w:cs="宋体"/>
          <w:color w:val="auto"/>
          <w:szCs w:val="21"/>
        </w:rPr>
      </w:pPr>
    </w:p>
    <w:p w14:paraId="3C101B1D">
      <w:pPr>
        <w:keepNext w:val="0"/>
        <w:keepLines w:val="0"/>
        <w:pageBreakBefore w:val="0"/>
        <w:widowControl w:val="0"/>
        <w:spacing w:line="360" w:lineRule="auto"/>
        <w:rPr>
          <w:rFonts w:hint="eastAsia" w:ascii="宋体" w:hAnsi="宋体" w:eastAsia="宋体" w:cs="宋体"/>
          <w:b/>
          <w:bCs/>
          <w:color w:val="auto"/>
          <w:sz w:val="24"/>
          <w:szCs w:val="24"/>
        </w:rPr>
      </w:pPr>
      <w:bookmarkStart w:id="699" w:name="_Toc13800"/>
      <w:bookmarkStart w:id="700" w:name="_Toc25400"/>
      <w:bookmarkStart w:id="701" w:name="_Toc21177"/>
      <w:r>
        <w:rPr>
          <w:rFonts w:hint="eastAsia" w:ascii="宋体" w:hAnsi="宋体" w:eastAsia="宋体" w:cs="宋体"/>
          <w:b/>
          <w:bCs/>
          <w:color w:val="auto"/>
          <w:sz w:val="24"/>
          <w:szCs w:val="24"/>
        </w:rPr>
        <w:t>六、成交标准：</w:t>
      </w:r>
      <w:bookmarkEnd w:id="699"/>
      <w:bookmarkEnd w:id="700"/>
      <w:bookmarkEnd w:id="701"/>
    </w:p>
    <w:p w14:paraId="5817C219">
      <w:pPr>
        <w:keepNext w:val="0"/>
        <w:keepLines w:val="0"/>
        <w:pageBreakBefore w:val="0"/>
        <w:widowControl w:val="0"/>
        <w:spacing w:line="360" w:lineRule="auto"/>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磋商小组根据综合评分情况，按照评审得分由高到低顺序推荐3名以上成交候选供应商，符合《政府采购竞争性磋商采购方式管理暂行办法》第二十一条第三款情形的，可以推荐2家成交候选供应商</w:t>
      </w:r>
      <w:r>
        <w:rPr>
          <w:rFonts w:hint="eastAsia" w:ascii="宋体" w:hAnsi="宋体" w:cs="宋体"/>
          <w:color w:val="auto"/>
          <w:sz w:val="24"/>
          <w:szCs w:val="24"/>
          <w:lang w:eastAsia="zh-CN"/>
        </w:rPr>
        <w:t>：</w:t>
      </w:r>
      <w:r>
        <w:rPr>
          <w:rFonts w:hint="eastAsia" w:ascii="宋体" w:hAnsi="宋体" w:eastAsia="宋体" w:cs="宋体"/>
          <w:color w:val="auto"/>
          <w:sz w:val="24"/>
          <w:szCs w:val="24"/>
        </w:rPr>
        <w:t>最后报价是供应商响应文件的有效组成部分。符合本办法第三条第四项情形的，提交最后报价的供应商可以为2家。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第三条第四项</w:t>
      </w:r>
      <w:r>
        <w:rPr>
          <w:rFonts w:hint="eastAsia" w:ascii="宋体" w:hAnsi="宋体" w:eastAsia="宋体" w:cs="宋体"/>
          <w:color w:val="auto"/>
          <w:sz w:val="24"/>
          <w:szCs w:val="24"/>
          <w:lang w:eastAsia="zh-CN"/>
        </w:rPr>
        <w:t>）市场竞争不充分的科研项目，以及需要扶持的科技成果转化项目；</w:t>
      </w:r>
    </w:p>
    <w:p w14:paraId="1867CC23">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关于政府采购竞争性磋商采购方式管理暂行办法有关问题的补充通知</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采用竞争性磋商采购方式采购的政府购买服务项目(含政府和社会资本合作项目)，在采购过程中符合要求的供应商(社会资本)只有2家的，竟争性磋商采购活动可以继续进行。采购过程中符合要求的供应商(社会资本)只有1家的，采购人(项目实施机构)或者采购代理机构应当终止竟争性磋商采购活动，发布项目终止公告并说明原因，重新开展采购活动。</w:t>
      </w:r>
    </w:p>
    <w:p w14:paraId="4ACC8179">
      <w:pPr>
        <w:keepNext w:val="0"/>
        <w:keepLines w:val="0"/>
        <w:pageBreakBefore w:val="0"/>
        <w:widowControl w:val="0"/>
        <w:spacing w:line="360" w:lineRule="auto"/>
        <w:ind w:firstLine="480"/>
        <w:rPr>
          <w:color w:val="auto"/>
        </w:rPr>
      </w:pPr>
      <w:r>
        <w:rPr>
          <w:rFonts w:hint="eastAsia" w:ascii="宋体" w:hAnsi="宋体" w:eastAsia="宋体" w:cs="宋体"/>
          <w:color w:val="auto"/>
          <w:sz w:val="24"/>
          <w:szCs w:val="24"/>
        </w:rPr>
        <w:t>评审得分相同的，按照最后报价由低到高的顺序推荐。评审得分且最后报价相同的，按照技术指标优劣顺序推荐。</w:t>
      </w:r>
      <w:r>
        <w:rPr>
          <w:rFonts w:hint="eastAsia" w:ascii="宋体" w:hAnsi="宋体" w:eastAsia="宋体" w:cs="宋体"/>
          <w:color w:val="auto"/>
          <w:szCs w:val="24"/>
        </w:rPr>
        <w:br w:type="page" w:clear="all"/>
      </w:r>
      <w:bookmarkStart w:id="702" w:name="_Toc29778"/>
      <w:bookmarkEnd w:id="702"/>
      <w:bookmarkStart w:id="703" w:name="_Toc20637"/>
      <w:bookmarkEnd w:id="703"/>
      <w:bookmarkStart w:id="704" w:name="_Toc15247"/>
      <w:bookmarkEnd w:id="704"/>
    </w:p>
    <w:p w14:paraId="15935E65">
      <w:pPr>
        <w:pStyle w:val="3"/>
        <w:numPr>
          <w:ilvl w:val="0"/>
          <w:numId w:val="10"/>
        </w:numPr>
        <w:jc w:val="center"/>
        <w:rPr>
          <w:rFonts w:hint="eastAsia" w:ascii="宋体" w:hAnsi="宋体" w:eastAsia="宋体" w:cs="宋体"/>
          <w:b/>
          <w:bCs/>
          <w:color w:val="auto"/>
          <w:sz w:val="40"/>
          <w:szCs w:val="40"/>
          <w:lang w:val="en-US" w:eastAsia="zh-CN"/>
        </w:rPr>
      </w:pPr>
      <w:bookmarkStart w:id="705" w:name="_Toc27402"/>
      <w:bookmarkStart w:id="706" w:name="_Toc3613"/>
      <w:bookmarkStart w:id="707" w:name="_Toc2728"/>
      <w:bookmarkStart w:id="708" w:name="_Toc465856616"/>
      <w:bookmarkStart w:id="709" w:name="_Toc1731"/>
      <w:r>
        <w:rPr>
          <w:rFonts w:hint="eastAsia" w:ascii="宋体" w:hAnsi="宋体" w:eastAsia="宋体" w:cs="宋体"/>
          <w:b/>
          <w:bCs/>
          <w:color w:val="auto"/>
          <w:sz w:val="40"/>
          <w:szCs w:val="40"/>
          <w:lang w:val="en-US" w:eastAsia="zh-CN"/>
        </w:rPr>
        <w:t>竞争性磋商响应文件格式</w:t>
      </w:r>
      <w:bookmarkEnd w:id="705"/>
      <w:bookmarkEnd w:id="706"/>
      <w:bookmarkEnd w:id="707"/>
      <w:bookmarkEnd w:id="708"/>
      <w:bookmarkEnd w:id="709"/>
    </w:p>
    <w:p w14:paraId="376AC6CF">
      <w:pPr>
        <w:numPr>
          <w:ilvl w:val="0"/>
          <w:numId w:val="0"/>
        </w:numPr>
        <w:rPr>
          <w:rFonts w:hint="eastAsia"/>
          <w:color w:val="auto"/>
        </w:rPr>
      </w:pPr>
    </w:p>
    <w:p w14:paraId="111F924A">
      <w:pPr>
        <w:jc w:val="center"/>
        <w:rPr>
          <w:rFonts w:hint="eastAsia" w:ascii="宋体" w:hAnsi="宋体" w:cs="宋体"/>
          <w:b/>
          <w:color w:val="auto"/>
          <w:sz w:val="56"/>
          <w:szCs w:val="48"/>
          <w:highlight w:val="none"/>
        </w:rPr>
      </w:pPr>
    </w:p>
    <w:p w14:paraId="52188DC3">
      <w:pPr>
        <w:jc w:val="center"/>
        <w:rPr>
          <w:rFonts w:hint="eastAsia" w:ascii="宋体" w:hAnsi="宋体" w:cs="宋体"/>
          <w:b/>
          <w:color w:val="auto"/>
          <w:sz w:val="56"/>
          <w:szCs w:val="48"/>
          <w:highlight w:val="none"/>
        </w:rPr>
      </w:pPr>
    </w:p>
    <w:p w14:paraId="2E44F408">
      <w:pPr>
        <w:jc w:val="center"/>
        <w:rPr>
          <w:rFonts w:hint="eastAsia" w:ascii="宋体" w:hAnsi="宋体" w:cs="宋体"/>
          <w:b/>
          <w:color w:val="auto"/>
          <w:sz w:val="56"/>
          <w:szCs w:val="48"/>
          <w:highlight w:val="none"/>
        </w:rPr>
      </w:pPr>
    </w:p>
    <w:p w14:paraId="2E1E81C7">
      <w:pPr>
        <w:jc w:val="center"/>
        <w:rPr>
          <w:rFonts w:hint="eastAsia" w:ascii="宋体" w:hAnsi="宋体" w:cs="宋体"/>
          <w:b/>
          <w:color w:val="auto"/>
          <w:sz w:val="56"/>
          <w:szCs w:val="48"/>
          <w:highlight w:val="none"/>
        </w:rPr>
      </w:pPr>
    </w:p>
    <w:p w14:paraId="0C05D492">
      <w:pPr>
        <w:jc w:val="center"/>
        <w:rPr>
          <w:rFonts w:hint="eastAsia" w:ascii="宋体" w:hAnsi="宋体" w:cs="宋体"/>
          <w:b/>
          <w:color w:val="auto"/>
          <w:sz w:val="56"/>
          <w:szCs w:val="48"/>
          <w:highlight w:val="none"/>
        </w:rPr>
      </w:pPr>
    </w:p>
    <w:p w14:paraId="1CA549B7">
      <w:pPr>
        <w:jc w:val="center"/>
        <w:rPr>
          <w:rFonts w:ascii="宋体" w:hAnsi="宋体" w:cs="宋体"/>
          <w:b/>
          <w:color w:val="auto"/>
          <w:sz w:val="56"/>
          <w:szCs w:val="48"/>
          <w:highlight w:val="none"/>
        </w:rPr>
      </w:pPr>
      <w:r>
        <w:rPr>
          <w:rFonts w:hint="eastAsia" w:ascii="宋体" w:hAnsi="宋体" w:cs="宋体"/>
          <w:b/>
          <w:color w:val="auto"/>
          <w:sz w:val="56"/>
          <w:szCs w:val="48"/>
          <w:highlight w:val="none"/>
        </w:rPr>
        <w:t>连 云 港 市 政 府 采 购</w:t>
      </w:r>
    </w:p>
    <w:p w14:paraId="148B0098">
      <w:pPr>
        <w:jc w:val="center"/>
        <w:rPr>
          <w:rFonts w:ascii="宋体" w:hAnsi="宋体" w:cs="宋体"/>
          <w:b/>
          <w:color w:val="auto"/>
          <w:sz w:val="72"/>
          <w:szCs w:val="21"/>
          <w:highlight w:val="none"/>
        </w:rPr>
      </w:pPr>
    </w:p>
    <w:p w14:paraId="6BFF8602">
      <w:pPr>
        <w:jc w:val="center"/>
        <w:rPr>
          <w:rFonts w:ascii="宋体" w:hAnsi="宋体" w:cs="宋体"/>
          <w:b/>
          <w:color w:val="auto"/>
          <w:sz w:val="72"/>
          <w:szCs w:val="21"/>
          <w:highlight w:val="none"/>
        </w:rPr>
      </w:pPr>
      <w:r>
        <w:rPr>
          <w:rFonts w:hint="eastAsia" w:ascii="宋体" w:hAnsi="宋体" w:cs="宋体"/>
          <w:b/>
          <w:color w:val="auto"/>
          <w:sz w:val="72"/>
          <w:szCs w:val="21"/>
          <w:highlight w:val="none"/>
        </w:rPr>
        <w:t>响应文件</w:t>
      </w:r>
    </w:p>
    <w:p w14:paraId="2E856EBA">
      <w:pPr>
        <w:ind w:firstLine="643"/>
        <w:jc w:val="center"/>
        <w:rPr>
          <w:rFonts w:ascii="宋体" w:hAnsi="宋体" w:cs="宋体"/>
          <w:b/>
          <w:color w:val="auto"/>
          <w:sz w:val="32"/>
          <w:szCs w:val="32"/>
          <w:highlight w:val="none"/>
        </w:rPr>
      </w:pPr>
    </w:p>
    <w:p w14:paraId="6ED2F7DE">
      <w:pPr>
        <w:pStyle w:val="297"/>
        <w:spacing w:line="480" w:lineRule="atLeast"/>
        <w:ind w:firstLine="1749"/>
        <w:jc w:val="both"/>
        <w:rPr>
          <w:b/>
          <w:color w:val="auto"/>
          <w:sz w:val="32"/>
          <w:szCs w:val="32"/>
          <w:highlight w:val="none"/>
          <w:u w:val="single"/>
        </w:rPr>
      </w:pPr>
      <w:r>
        <w:rPr>
          <w:rFonts w:hint="eastAsia"/>
          <w:b/>
          <w:color w:val="auto"/>
          <w:sz w:val="32"/>
          <w:szCs w:val="32"/>
          <w:highlight w:val="none"/>
        </w:rPr>
        <w:t>项目名称：</w:t>
      </w:r>
      <w:r>
        <w:rPr>
          <w:rFonts w:hint="eastAsia"/>
          <w:b/>
          <w:color w:val="auto"/>
          <w:sz w:val="32"/>
          <w:szCs w:val="32"/>
          <w:highlight w:val="none"/>
          <w:u w:val="single"/>
        </w:rPr>
        <w:t xml:space="preserve">                    </w:t>
      </w:r>
    </w:p>
    <w:p w14:paraId="05A342AE">
      <w:pPr>
        <w:pStyle w:val="297"/>
        <w:spacing w:line="480" w:lineRule="atLeast"/>
        <w:ind w:firstLine="1749"/>
        <w:jc w:val="both"/>
        <w:rPr>
          <w:color w:val="auto"/>
          <w:highlight w:val="none"/>
        </w:rPr>
      </w:pPr>
      <w:r>
        <w:rPr>
          <w:rFonts w:hint="eastAsia"/>
          <w:b/>
          <w:color w:val="auto"/>
          <w:sz w:val="32"/>
          <w:szCs w:val="32"/>
          <w:highlight w:val="none"/>
        </w:rPr>
        <w:t>项目编号：</w:t>
      </w:r>
      <w:r>
        <w:rPr>
          <w:rFonts w:hint="eastAsia"/>
          <w:b/>
          <w:color w:val="auto"/>
          <w:sz w:val="32"/>
          <w:szCs w:val="32"/>
          <w:highlight w:val="none"/>
          <w:u w:val="single"/>
        </w:rPr>
        <w:t xml:space="preserve">                    </w:t>
      </w:r>
    </w:p>
    <w:p w14:paraId="7C6558EE">
      <w:pPr>
        <w:pStyle w:val="297"/>
        <w:spacing w:line="360" w:lineRule="atLeast"/>
        <w:jc w:val="both"/>
        <w:rPr>
          <w:color w:val="auto"/>
          <w:highlight w:val="none"/>
        </w:rPr>
      </w:pPr>
      <w:r>
        <w:rPr>
          <w:rFonts w:hint="eastAsia"/>
          <w:color w:val="auto"/>
          <w:highlight w:val="none"/>
        </w:rPr>
        <w:t>  </w:t>
      </w:r>
    </w:p>
    <w:p w14:paraId="5715B16D">
      <w:pPr>
        <w:pStyle w:val="297"/>
        <w:spacing w:line="480" w:lineRule="atLeast"/>
        <w:ind w:firstLine="1749"/>
        <w:jc w:val="both"/>
        <w:rPr>
          <w:b/>
          <w:color w:val="auto"/>
          <w:sz w:val="32"/>
          <w:szCs w:val="32"/>
          <w:highlight w:val="none"/>
        </w:rPr>
      </w:pPr>
      <w:r>
        <w:rPr>
          <w:rFonts w:hint="eastAsia"/>
          <w:b/>
          <w:color w:val="auto"/>
          <w:sz w:val="32"/>
          <w:szCs w:val="32"/>
          <w:highlight w:val="none"/>
        </w:rPr>
        <w:t>供应商名称：</w:t>
      </w:r>
      <w:r>
        <w:rPr>
          <w:rFonts w:hint="eastAsia"/>
          <w:b/>
          <w:bCs/>
          <w:color w:val="auto"/>
          <w:sz w:val="36"/>
          <w:szCs w:val="36"/>
          <w:highlight w:val="none"/>
          <w:u w:val="single"/>
        </w:rPr>
        <w:t>（加盖CA电子公章）</w:t>
      </w:r>
      <w:r>
        <w:rPr>
          <w:rFonts w:hint="eastAsia"/>
          <w:b/>
          <w:color w:val="auto"/>
          <w:sz w:val="32"/>
          <w:szCs w:val="32"/>
          <w:highlight w:val="none"/>
        </w:rPr>
        <w:t> </w:t>
      </w:r>
    </w:p>
    <w:p w14:paraId="04BC0A0C">
      <w:pPr>
        <w:pStyle w:val="297"/>
        <w:spacing w:line="480" w:lineRule="atLeast"/>
        <w:ind w:firstLine="1749"/>
        <w:jc w:val="both"/>
        <w:rPr>
          <w:color w:val="auto"/>
          <w:sz w:val="36"/>
          <w:highlight w:val="none"/>
        </w:rPr>
      </w:pPr>
      <w:r>
        <w:rPr>
          <w:rFonts w:hint="eastAsia"/>
          <w:b/>
          <w:color w:val="auto"/>
          <w:sz w:val="32"/>
          <w:szCs w:val="32"/>
          <w:highlight w:val="none"/>
        </w:rPr>
        <w:t>日 期 ：</w:t>
      </w:r>
      <w:r>
        <w:rPr>
          <w:rFonts w:hint="eastAsia"/>
          <w:b/>
          <w:color w:val="auto"/>
          <w:sz w:val="32"/>
          <w:szCs w:val="32"/>
          <w:highlight w:val="none"/>
          <w:u w:val="single"/>
        </w:rPr>
        <w:t xml:space="preserve">      </w:t>
      </w:r>
      <w:r>
        <w:rPr>
          <w:rFonts w:hint="eastAsia"/>
          <w:b/>
          <w:color w:val="auto"/>
          <w:sz w:val="32"/>
          <w:szCs w:val="32"/>
          <w:highlight w:val="none"/>
          <w:u w:val="single"/>
          <w:lang w:val="en-US" w:eastAsia="zh-CN"/>
        </w:rPr>
        <w:t xml:space="preserve">    </w:t>
      </w:r>
      <w:r>
        <w:rPr>
          <w:rFonts w:hint="eastAsia"/>
          <w:b/>
          <w:color w:val="auto"/>
          <w:sz w:val="32"/>
          <w:szCs w:val="32"/>
          <w:highlight w:val="none"/>
          <w:u w:val="single"/>
        </w:rPr>
        <w:t xml:space="preserve">              </w:t>
      </w:r>
    </w:p>
    <w:p w14:paraId="1A49573B">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0" w:beforeAutospacing="0" w:after="0" w:afterAutospacing="0" w:line="600" w:lineRule="auto"/>
        <w:ind w:left="629" w:firstLine="600"/>
        <w:jc w:val="both"/>
        <w:rPr>
          <w:rFonts w:hint="default" w:ascii="Times New Roman" w:hAnsi="Times New Roman" w:cs="Times New Roman"/>
          <w:color w:val="auto"/>
          <w:sz w:val="30"/>
          <w:szCs w:val="30"/>
          <w:shd w:val="clear" w:color="auto" w:fill="FFFFFF"/>
        </w:rPr>
      </w:pPr>
    </w:p>
    <w:p w14:paraId="6F161959">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0" w:beforeAutospacing="0" w:after="0" w:afterAutospacing="0" w:line="600" w:lineRule="auto"/>
        <w:ind w:left="629" w:firstLine="600"/>
        <w:jc w:val="both"/>
        <w:rPr>
          <w:rFonts w:hint="default" w:ascii="Times New Roman" w:hAnsi="Times New Roman" w:cs="Times New Roman"/>
          <w:color w:val="auto"/>
          <w:sz w:val="30"/>
          <w:szCs w:val="30"/>
          <w:shd w:val="clear" w:color="auto" w:fill="FFFFFF"/>
        </w:rPr>
      </w:pPr>
    </w:p>
    <w:p w14:paraId="3506F185">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0" w:beforeAutospacing="0" w:after="0" w:afterAutospacing="0" w:line="600" w:lineRule="auto"/>
        <w:ind w:left="629" w:firstLine="600"/>
        <w:jc w:val="both"/>
        <w:rPr>
          <w:rFonts w:hint="default" w:ascii="Times New Roman" w:hAnsi="Times New Roman" w:cs="Times New Roman"/>
          <w:color w:val="auto"/>
          <w:sz w:val="30"/>
          <w:szCs w:val="30"/>
          <w:shd w:val="clear" w:color="auto" w:fill="FFFFFF"/>
        </w:rPr>
      </w:pPr>
    </w:p>
    <w:p w14:paraId="3E96440C">
      <w:pPr>
        <w:numPr>
          <w:ilvl w:val="0"/>
          <w:numId w:val="0"/>
        </w:numPr>
        <w:spacing w:line="360" w:lineRule="auto"/>
        <w:outlineLvl w:val="9"/>
        <w:rPr>
          <w:rFonts w:hint="eastAsia" w:ascii="宋体" w:hAnsi="宋体" w:eastAsia="宋体" w:cs="宋体"/>
          <w:b/>
          <w:color w:val="auto"/>
          <w:sz w:val="32"/>
          <w:szCs w:val="32"/>
        </w:rPr>
      </w:pPr>
    </w:p>
    <w:p w14:paraId="565D0F5F">
      <w:pPr>
        <w:pStyle w:val="6"/>
        <w:spacing w:before="0" w:after="0" w:line="360" w:lineRule="auto"/>
        <w:jc w:val="center"/>
        <w:outlineLvl w:val="1"/>
        <w:rPr>
          <w:rFonts w:hint="eastAsia" w:ascii="宋体" w:hAnsi="宋体" w:eastAsia="宋体" w:cs="宋体"/>
          <w:color w:val="auto"/>
        </w:rPr>
      </w:pPr>
      <w:bookmarkStart w:id="710" w:name="_Toc19733"/>
      <w:bookmarkStart w:id="711" w:name="_Toc12298"/>
      <w:bookmarkStart w:id="712" w:name="_Toc23461"/>
      <w:r>
        <w:rPr>
          <w:rFonts w:hint="eastAsia" w:ascii="宋体" w:hAnsi="宋体" w:eastAsia="宋体" w:cs="宋体"/>
          <w:color w:val="auto"/>
          <w:sz w:val="32"/>
          <w:szCs w:val="32"/>
          <w:lang w:val="en-US" w:eastAsia="zh-CN"/>
        </w:rPr>
        <w:t>一、</w:t>
      </w:r>
      <w:r>
        <w:rPr>
          <w:rFonts w:hint="eastAsia" w:ascii="宋体" w:hAnsi="宋体" w:eastAsia="宋体" w:cs="宋体"/>
          <w:color w:val="auto"/>
          <w:sz w:val="32"/>
          <w:szCs w:val="32"/>
        </w:rPr>
        <w:t>磋商响应函</w:t>
      </w:r>
      <w:bookmarkEnd w:id="710"/>
      <w:bookmarkEnd w:id="711"/>
      <w:bookmarkEnd w:id="712"/>
    </w:p>
    <w:p w14:paraId="6F201B31">
      <w:pPr>
        <w:spacing w:line="400" w:lineRule="exact"/>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sz w:val="24"/>
          <w:u w:val="single"/>
        </w:rPr>
        <w:t xml:space="preserve">    采购人   </w:t>
      </w:r>
    </w:p>
    <w:p w14:paraId="79235794">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(一)根据已收到的采购编号为</w:t>
      </w:r>
      <w:r>
        <w:rPr>
          <w:rFonts w:hint="eastAsia" w:ascii="宋体" w:hAnsi="宋体" w:eastAsia="宋体" w:cs="宋体"/>
          <w:color w:val="auto"/>
          <w:sz w:val="24"/>
          <w:u w:val="single"/>
        </w:rPr>
        <w:t xml:space="preserve">          </w:t>
      </w:r>
      <w:r>
        <w:rPr>
          <w:rFonts w:hint="eastAsia" w:ascii="宋体" w:hAnsi="宋体" w:eastAsia="宋体" w:cs="宋体"/>
          <w:color w:val="auto"/>
          <w:sz w:val="24"/>
        </w:rPr>
        <w:t>的</w:t>
      </w:r>
      <w:r>
        <w:rPr>
          <w:rFonts w:hint="eastAsia" w:ascii="宋体" w:hAnsi="宋体" w:eastAsia="宋体" w:cs="宋体"/>
          <w:color w:val="auto"/>
          <w:sz w:val="24"/>
          <w:u w:val="single"/>
        </w:rPr>
        <w:t xml:space="preserve">                </w:t>
      </w:r>
      <w:r>
        <w:rPr>
          <w:rFonts w:hint="eastAsia" w:ascii="宋体" w:hAnsi="宋体" w:eastAsia="宋体" w:cs="宋体"/>
          <w:color w:val="auto"/>
          <w:sz w:val="24"/>
        </w:rPr>
        <w:t>工程的磋商文件(包括补充通知)，遵照《中华人民共和国政府采购法》及相关法律的规定，我单位经考察现场和研究上述工程磋商文件后，我方愿以人民币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元(大写)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的总价，按磋商文件的要求承包本次采购范围内的全部工程，并承担相关的责任。</w:t>
      </w:r>
    </w:p>
    <w:p w14:paraId="11767456">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p>
    <w:p w14:paraId="0810BDA1">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(三)我单位保证在收到贵单位发出的书面开工令后立即开工，并在</w:t>
      </w:r>
      <w:r>
        <w:rPr>
          <w:rFonts w:hint="eastAsia" w:ascii="宋体" w:hAnsi="宋体" w:eastAsia="宋体" w:cs="宋体"/>
          <w:color w:val="auto"/>
          <w:sz w:val="24"/>
          <w:u w:val="single"/>
        </w:rPr>
        <w:t xml:space="preserve">      </w:t>
      </w:r>
      <w:r>
        <w:rPr>
          <w:rFonts w:hint="eastAsia" w:ascii="宋体" w:hAnsi="宋体" w:eastAsia="宋体" w:cs="宋体"/>
          <w:color w:val="auto"/>
          <w:sz w:val="24"/>
        </w:rPr>
        <w:t>天内竣工。</w:t>
      </w:r>
    </w:p>
    <w:p w14:paraId="2EB17B73">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(四)我单位保证本工程质量达到</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7342FCBE">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(五)我单位保证在成交后派出项目负责人</w:t>
      </w:r>
      <w:r>
        <w:rPr>
          <w:rFonts w:hint="eastAsia" w:ascii="宋体" w:hAnsi="宋体" w:eastAsia="宋体" w:cs="宋体"/>
          <w:color w:val="auto"/>
          <w:sz w:val="24"/>
          <w:u w:val="single"/>
        </w:rPr>
        <w:t xml:space="preserve">  (姓名)  </w:t>
      </w:r>
      <w:r>
        <w:rPr>
          <w:rFonts w:hint="eastAsia" w:ascii="宋体" w:hAnsi="宋体" w:eastAsia="宋体" w:cs="宋体"/>
          <w:color w:val="auto"/>
          <w:sz w:val="24"/>
        </w:rPr>
        <w:t>同志(身份证号：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rPr>
        <w:t>)全面负责本工程的施工。</w:t>
      </w:r>
    </w:p>
    <w:p w14:paraId="3E810D2A">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(六)贵单位所发出的磋商文件、成交通知书和本响应文件将构成约束我们双方的合同。</w:t>
      </w:r>
    </w:p>
    <w:p w14:paraId="35AD90BE">
      <w:pPr>
        <w:spacing w:line="400" w:lineRule="exact"/>
        <w:ind w:firstLine="480"/>
        <w:rPr>
          <w:rFonts w:hint="eastAsia" w:ascii="宋体" w:hAnsi="宋体" w:eastAsia="宋体" w:cs="宋体"/>
          <w:color w:val="auto"/>
          <w:sz w:val="24"/>
        </w:rPr>
      </w:pPr>
    </w:p>
    <w:p w14:paraId="68A293ED">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磋商供应商：(签章)</w:t>
      </w:r>
    </w:p>
    <w:p w14:paraId="277CED96">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单位地址：</w:t>
      </w:r>
    </w:p>
    <w:p w14:paraId="45CC6B9F">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邮政编码：</w:t>
      </w:r>
    </w:p>
    <w:p w14:paraId="5D32041B">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法定代表人或委托代理人(签字或盖章)：</w:t>
      </w:r>
    </w:p>
    <w:p w14:paraId="717989A0">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电话：</w:t>
      </w:r>
    </w:p>
    <w:p w14:paraId="5921F6C0">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传真：</w:t>
      </w:r>
    </w:p>
    <w:p w14:paraId="26311C90">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开户银行名称：</w:t>
      </w:r>
    </w:p>
    <w:p w14:paraId="5A2654C6">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银行帐号：</w:t>
      </w:r>
    </w:p>
    <w:p w14:paraId="0B9B7F3A">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开户行地址：</w:t>
      </w:r>
    </w:p>
    <w:p w14:paraId="31A79368">
      <w:pPr>
        <w:spacing w:line="400" w:lineRule="exact"/>
        <w:ind w:firstLine="480"/>
        <w:rPr>
          <w:rFonts w:hint="eastAsia" w:ascii="宋体" w:hAnsi="宋体" w:eastAsia="宋体" w:cs="宋体"/>
          <w:color w:val="auto"/>
          <w:sz w:val="24"/>
        </w:rPr>
      </w:pPr>
    </w:p>
    <w:p w14:paraId="59129315">
      <w:pPr>
        <w:spacing w:line="400" w:lineRule="exact"/>
        <w:ind w:firstLine="480"/>
        <w:rPr>
          <w:rFonts w:hint="eastAsia" w:ascii="宋体" w:hAnsi="宋体" w:eastAsia="宋体" w:cs="宋体"/>
          <w:color w:val="auto"/>
          <w:sz w:val="24"/>
        </w:rPr>
      </w:pPr>
    </w:p>
    <w:p w14:paraId="5DB9B972">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日期：       年      月      日</w:t>
      </w:r>
    </w:p>
    <w:p w14:paraId="702C2050">
      <w:pPr>
        <w:pStyle w:val="45"/>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rPr>
          <w:rFonts w:hint="eastAsia" w:ascii="宋体" w:hAnsi="宋体" w:eastAsia="宋体" w:cs="宋体"/>
          <w:color w:val="auto"/>
        </w:rPr>
      </w:pPr>
    </w:p>
    <w:p w14:paraId="7C1E85F8">
      <w:pPr>
        <w:spacing w:line="360" w:lineRule="auto"/>
        <w:jc w:val="center"/>
        <w:outlineLvl w:val="1"/>
        <w:rPr>
          <w:rFonts w:hint="eastAsia" w:ascii="宋体" w:hAnsi="宋体" w:eastAsia="宋体" w:cs="宋体"/>
          <w:b/>
          <w:color w:val="auto"/>
          <w:sz w:val="28"/>
          <w:szCs w:val="28"/>
        </w:rPr>
      </w:pPr>
      <w:r>
        <w:rPr>
          <w:rFonts w:hint="eastAsia" w:ascii="宋体" w:hAnsi="宋体" w:eastAsia="宋体" w:cs="宋体"/>
          <w:b/>
          <w:color w:val="auto"/>
          <w:sz w:val="30"/>
          <w:szCs w:val="30"/>
          <w:u w:val="single"/>
        </w:rPr>
        <w:br w:type="page" w:clear="all"/>
      </w:r>
      <w:bookmarkStart w:id="713" w:name="_Toc2373"/>
      <w:bookmarkStart w:id="714" w:name="_Toc15988"/>
      <w:bookmarkStart w:id="715" w:name="_Toc15192"/>
      <w:bookmarkStart w:id="716" w:name="_Toc13573"/>
      <w:bookmarkStart w:id="717" w:name="_Toc17281"/>
      <w:bookmarkStart w:id="718" w:name="_Toc28392"/>
      <w:bookmarkStart w:id="719" w:name="_Toc8251"/>
      <w:r>
        <w:rPr>
          <w:rFonts w:hint="eastAsia" w:ascii="宋体" w:hAnsi="宋体" w:eastAsia="宋体" w:cs="宋体"/>
          <w:b/>
          <w:color w:val="auto"/>
          <w:sz w:val="28"/>
          <w:szCs w:val="28"/>
        </w:rPr>
        <w:t>二、磋商响应报价表</w:t>
      </w:r>
      <w:bookmarkEnd w:id="713"/>
      <w:bookmarkEnd w:id="714"/>
      <w:bookmarkEnd w:id="715"/>
      <w:bookmarkEnd w:id="716"/>
    </w:p>
    <w:tbl>
      <w:tblPr>
        <w:tblStyle w:val="49"/>
        <w:tblpPr w:leftFromText="180" w:rightFromText="180" w:horzAnchor="margin" w:tblpXSpec="left" w:tblpY="1425"/>
        <w:tblW w:w="914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43"/>
        <w:gridCol w:w="7600"/>
      </w:tblGrid>
      <w:tr w14:paraId="19267E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8" w:hRule="atLeast"/>
        </w:trPr>
        <w:tc>
          <w:tcPr>
            <w:tcW w:w="1543" w:type="dxa"/>
            <w:shd w:val="clear" w:color="auto" w:fill="auto"/>
            <w:noWrap w:val="0"/>
          </w:tcPr>
          <w:p w14:paraId="2A9AA1E9">
            <w:pPr>
              <w:spacing w:before="74" w:line="229" w:lineRule="auto"/>
              <w:jc w:val="center"/>
              <w:rPr>
                <w:rFonts w:hint="eastAsia" w:ascii="宋体" w:hAnsi="宋体" w:eastAsia="宋体" w:cs="宋体"/>
                <w:color w:val="auto"/>
                <w:spacing w:val="14"/>
                <w:sz w:val="24"/>
                <w:szCs w:val="24"/>
              </w:rPr>
            </w:pPr>
          </w:p>
          <w:p w14:paraId="0626FF7A">
            <w:pPr>
              <w:spacing w:before="74" w:line="229" w:lineRule="auto"/>
              <w:jc w:val="center"/>
              <w:rPr>
                <w:rFonts w:hint="eastAsia" w:ascii="宋体" w:hAnsi="宋体" w:eastAsia="宋体" w:cs="宋体"/>
                <w:color w:val="auto"/>
                <w:sz w:val="24"/>
                <w:szCs w:val="24"/>
              </w:rPr>
            </w:pPr>
            <w:r>
              <w:rPr>
                <w:rFonts w:hint="eastAsia" w:ascii="宋体" w:hAnsi="宋体" w:eastAsia="宋体" w:cs="宋体"/>
                <w:color w:val="auto"/>
                <w:spacing w:val="14"/>
                <w:sz w:val="24"/>
                <w:szCs w:val="24"/>
              </w:rPr>
              <w:t>项</w:t>
            </w:r>
            <w:r>
              <w:rPr>
                <w:rFonts w:hint="eastAsia" w:ascii="宋体" w:hAnsi="宋体" w:eastAsia="宋体" w:cs="宋体"/>
                <w:color w:val="auto"/>
                <w:spacing w:val="13"/>
                <w:sz w:val="24"/>
                <w:szCs w:val="24"/>
              </w:rPr>
              <w:t xml:space="preserve">  目</w:t>
            </w:r>
          </w:p>
        </w:tc>
        <w:tc>
          <w:tcPr>
            <w:tcW w:w="7600" w:type="dxa"/>
            <w:shd w:val="clear" w:color="auto" w:fill="auto"/>
            <w:noWrap w:val="0"/>
          </w:tcPr>
          <w:p w14:paraId="4806DEDC">
            <w:pPr>
              <w:spacing w:line="302" w:lineRule="auto"/>
              <w:rPr>
                <w:rFonts w:hint="eastAsia" w:ascii="宋体" w:hAnsi="宋体" w:eastAsia="宋体" w:cs="宋体"/>
                <w:color w:val="auto"/>
                <w:sz w:val="24"/>
                <w:szCs w:val="24"/>
              </w:rPr>
            </w:pPr>
          </w:p>
          <w:p w14:paraId="5F365CA6">
            <w:pPr>
              <w:spacing w:before="75" w:line="400" w:lineRule="exact"/>
              <w:ind w:left="237"/>
              <w:rPr>
                <w:rFonts w:hint="eastAsia" w:ascii="宋体" w:hAnsi="宋体" w:eastAsia="宋体" w:cs="宋体"/>
                <w:color w:val="auto"/>
                <w:sz w:val="24"/>
                <w:szCs w:val="24"/>
              </w:rPr>
            </w:pPr>
            <w:r>
              <w:rPr>
                <w:rFonts w:hint="eastAsia" w:ascii="宋体" w:hAnsi="宋体" w:eastAsia="宋体" w:cs="宋体"/>
                <w:color w:val="auto"/>
                <w:spacing w:val="6"/>
                <w:position w:val="12"/>
                <w:sz w:val="24"/>
                <w:szCs w:val="24"/>
              </w:rPr>
              <w:t>项</w:t>
            </w:r>
            <w:r>
              <w:rPr>
                <w:rFonts w:hint="eastAsia" w:ascii="宋体" w:hAnsi="宋体" w:eastAsia="宋体" w:cs="宋体"/>
                <w:color w:val="auto"/>
                <w:spacing w:val="5"/>
                <w:position w:val="12"/>
                <w:sz w:val="24"/>
                <w:szCs w:val="24"/>
              </w:rPr>
              <w:t>目名称：</w:t>
            </w:r>
          </w:p>
          <w:p w14:paraId="017410DD">
            <w:pPr>
              <w:spacing w:line="228" w:lineRule="auto"/>
              <w:ind w:left="237"/>
              <w:rPr>
                <w:rFonts w:hint="eastAsia" w:ascii="宋体" w:hAnsi="宋体" w:eastAsia="宋体" w:cs="宋体"/>
                <w:color w:val="auto"/>
                <w:sz w:val="24"/>
                <w:szCs w:val="24"/>
              </w:rPr>
            </w:pPr>
            <w:r>
              <w:rPr>
                <w:rFonts w:hint="eastAsia" w:ascii="宋体" w:hAnsi="宋体" w:eastAsia="宋体" w:cs="宋体"/>
                <w:color w:val="auto"/>
                <w:spacing w:val="6"/>
                <w:sz w:val="24"/>
                <w:szCs w:val="24"/>
              </w:rPr>
              <w:t>项</w:t>
            </w:r>
            <w:r>
              <w:rPr>
                <w:rFonts w:hint="eastAsia" w:ascii="宋体" w:hAnsi="宋体" w:eastAsia="宋体" w:cs="宋体"/>
                <w:color w:val="auto"/>
                <w:spacing w:val="5"/>
                <w:sz w:val="24"/>
                <w:szCs w:val="24"/>
              </w:rPr>
              <w:t>目编号：</w:t>
            </w:r>
          </w:p>
        </w:tc>
      </w:tr>
      <w:tr w14:paraId="7A1A3E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77" w:hRule="atLeast"/>
        </w:trPr>
        <w:tc>
          <w:tcPr>
            <w:tcW w:w="1543" w:type="dxa"/>
            <w:shd w:val="clear" w:color="auto" w:fill="auto"/>
            <w:noWrap w:val="0"/>
          </w:tcPr>
          <w:p w14:paraId="768DA37C">
            <w:pPr>
              <w:spacing w:line="311" w:lineRule="auto"/>
              <w:rPr>
                <w:rFonts w:hint="eastAsia" w:ascii="宋体" w:hAnsi="宋体" w:eastAsia="宋体" w:cs="宋体"/>
                <w:color w:val="auto"/>
                <w:sz w:val="24"/>
                <w:szCs w:val="24"/>
              </w:rPr>
            </w:pPr>
          </w:p>
          <w:p w14:paraId="7308C999">
            <w:pPr>
              <w:spacing w:line="312" w:lineRule="auto"/>
              <w:rPr>
                <w:rFonts w:hint="eastAsia" w:ascii="宋体" w:hAnsi="宋体" w:eastAsia="宋体" w:cs="宋体"/>
                <w:color w:val="auto"/>
                <w:sz w:val="24"/>
                <w:szCs w:val="24"/>
              </w:rPr>
            </w:pPr>
          </w:p>
          <w:p w14:paraId="577833F7">
            <w:pPr>
              <w:spacing w:before="75" w:line="400" w:lineRule="exact"/>
              <w:ind w:left="610"/>
              <w:rPr>
                <w:rFonts w:hint="eastAsia" w:ascii="宋体" w:hAnsi="宋体" w:eastAsia="宋体" w:cs="宋体"/>
                <w:color w:val="auto"/>
                <w:sz w:val="24"/>
                <w:szCs w:val="24"/>
              </w:rPr>
            </w:pPr>
            <w:r>
              <w:rPr>
                <w:rFonts w:hint="eastAsia" w:ascii="宋体" w:hAnsi="宋体" w:eastAsia="宋体" w:cs="宋体"/>
                <w:color w:val="auto"/>
                <w:spacing w:val="-1"/>
                <w:position w:val="12"/>
                <w:sz w:val="24"/>
                <w:szCs w:val="24"/>
              </w:rPr>
              <w:t>响应</w:t>
            </w:r>
          </w:p>
          <w:p w14:paraId="3D561C59">
            <w:pPr>
              <w:spacing w:line="226" w:lineRule="auto"/>
              <w:ind w:left="596"/>
              <w:rPr>
                <w:rFonts w:hint="eastAsia" w:ascii="宋体" w:hAnsi="宋体" w:eastAsia="宋体" w:cs="宋体"/>
                <w:color w:val="auto"/>
                <w:sz w:val="24"/>
                <w:szCs w:val="24"/>
              </w:rPr>
            </w:pPr>
            <w:r>
              <w:rPr>
                <w:rFonts w:hint="eastAsia" w:ascii="宋体" w:hAnsi="宋体" w:eastAsia="宋体" w:cs="宋体"/>
                <w:color w:val="auto"/>
                <w:spacing w:val="6"/>
                <w:sz w:val="24"/>
                <w:szCs w:val="24"/>
              </w:rPr>
              <w:t>报价</w:t>
            </w:r>
          </w:p>
        </w:tc>
        <w:tc>
          <w:tcPr>
            <w:tcW w:w="7600" w:type="dxa"/>
            <w:shd w:val="clear" w:color="auto" w:fill="auto"/>
            <w:noWrap w:val="0"/>
          </w:tcPr>
          <w:p w14:paraId="44C3ECF8">
            <w:pPr>
              <w:spacing w:line="395" w:lineRule="auto"/>
              <w:rPr>
                <w:rFonts w:hint="eastAsia" w:ascii="宋体" w:hAnsi="宋体" w:eastAsia="宋体" w:cs="宋体"/>
                <w:color w:val="auto"/>
                <w:sz w:val="24"/>
                <w:szCs w:val="24"/>
              </w:rPr>
            </w:pPr>
          </w:p>
          <w:p w14:paraId="638789DA">
            <w:pPr>
              <w:spacing w:before="74" w:line="315" w:lineRule="exact"/>
              <w:ind w:firstLine="248"/>
              <w:rPr>
                <w:rFonts w:hint="eastAsia" w:ascii="宋体" w:hAnsi="宋体" w:eastAsia="宋体" w:cs="宋体"/>
                <w:color w:val="auto"/>
                <w:sz w:val="24"/>
                <w:szCs w:val="24"/>
              </w:rPr>
            </w:pPr>
            <w:r>
              <w:rPr>
                <w:rFonts w:hint="eastAsia" w:ascii="宋体" w:hAnsi="宋体" w:eastAsia="宋体" w:cs="宋体"/>
                <w:color w:val="auto"/>
                <w:spacing w:val="9"/>
                <w:position w:val="2"/>
                <w:sz w:val="24"/>
                <w:szCs w:val="24"/>
              </w:rPr>
              <w:t>人</w:t>
            </w:r>
            <w:r>
              <w:rPr>
                <w:rFonts w:hint="eastAsia" w:ascii="宋体" w:hAnsi="宋体" w:eastAsia="宋体" w:cs="宋体"/>
                <w:color w:val="auto"/>
                <w:spacing w:val="5"/>
                <w:position w:val="2"/>
                <w:sz w:val="24"/>
                <w:szCs w:val="24"/>
              </w:rPr>
              <w:t>民币(大写)：</w:t>
            </w:r>
          </w:p>
          <w:p w14:paraId="2460C64F">
            <w:pPr>
              <w:spacing w:line="283" w:lineRule="auto"/>
              <w:rPr>
                <w:rFonts w:hint="eastAsia" w:ascii="宋体" w:hAnsi="宋体" w:eastAsia="宋体" w:cs="宋体"/>
                <w:color w:val="auto"/>
                <w:sz w:val="24"/>
                <w:szCs w:val="24"/>
              </w:rPr>
            </w:pPr>
          </w:p>
          <w:p w14:paraId="57922033">
            <w:pPr>
              <w:spacing w:before="74" w:line="315" w:lineRule="exact"/>
              <w:ind w:firstLine="238"/>
              <w:rPr>
                <w:rFonts w:hint="eastAsia" w:ascii="宋体" w:hAnsi="宋体" w:eastAsia="宋体" w:cs="宋体"/>
                <w:color w:val="auto"/>
                <w:sz w:val="24"/>
                <w:szCs w:val="24"/>
              </w:rPr>
            </w:pPr>
            <w:r>
              <w:rPr>
                <w:rFonts w:hint="eastAsia" w:ascii="宋体" w:hAnsi="宋体" w:eastAsia="宋体" w:cs="宋体"/>
                <w:color w:val="auto"/>
                <w:spacing w:val="4"/>
                <w:position w:val="3"/>
                <w:sz w:val="24"/>
                <w:szCs w:val="24"/>
              </w:rPr>
              <w:t>(</w:t>
            </w:r>
            <w:r>
              <w:rPr>
                <w:rFonts w:hint="eastAsia" w:ascii="宋体" w:hAnsi="宋体" w:eastAsia="宋体" w:cs="宋体"/>
                <w:color w:val="auto"/>
                <w:spacing w:val="3"/>
                <w:position w:val="3"/>
                <w:sz w:val="24"/>
                <w:szCs w:val="24"/>
              </w:rPr>
              <w:t>小写)：</w:t>
            </w:r>
          </w:p>
        </w:tc>
      </w:tr>
      <w:tr w14:paraId="5B415B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5" w:hRule="atLeast"/>
        </w:trPr>
        <w:tc>
          <w:tcPr>
            <w:tcW w:w="1543" w:type="dxa"/>
            <w:shd w:val="clear" w:color="auto" w:fill="auto"/>
            <w:noWrap w:val="0"/>
          </w:tcPr>
          <w:p w14:paraId="2A99C0AE">
            <w:pPr>
              <w:spacing w:line="464" w:lineRule="auto"/>
              <w:rPr>
                <w:rFonts w:hint="eastAsia" w:ascii="宋体" w:hAnsi="宋体" w:eastAsia="宋体" w:cs="宋体"/>
                <w:color w:val="auto"/>
                <w:sz w:val="24"/>
                <w:szCs w:val="24"/>
              </w:rPr>
            </w:pPr>
          </w:p>
          <w:p w14:paraId="459F3B7B">
            <w:pPr>
              <w:spacing w:before="74" w:line="401" w:lineRule="exact"/>
              <w:ind w:left="599"/>
              <w:rPr>
                <w:rFonts w:hint="eastAsia" w:ascii="宋体" w:hAnsi="宋体" w:eastAsia="宋体" w:cs="宋体"/>
                <w:color w:val="auto"/>
                <w:sz w:val="24"/>
                <w:szCs w:val="24"/>
              </w:rPr>
            </w:pPr>
            <w:r>
              <w:rPr>
                <w:rFonts w:hint="eastAsia" w:ascii="宋体" w:hAnsi="宋体" w:eastAsia="宋体" w:cs="宋体"/>
                <w:color w:val="auto"/>
                <w:spacing w:val="4"/>
                <w:position w:val="12"/>
                <w:sz w:val="24"/>
                <w:szCs w:val="24"/>
              </w:rPr>
              <w:t>预计</w:t>
            </w:r>
          </w:p>
          <w:p w14:paraId="046E28C2">
            <w:pPr>
              <w:spacing w:before="1" w:line="228" w:lineRule="auto"/>
              <w:ind w:left="600"/>
              <w:rPr>
                <w:rFonts w:hint="eastAsia" w:ascii="宋体" w:hAnsi="宋体" w:eastAsia="宋体" w:cs="宋体"/>
                <w:color w:val="auto"/>
                <w:sz w:val="24"/>
                <w:szCs w:val="24"/>
              </w:rPr>
            </w:pPr>
            <w:r>
              <w:rPr>
                <w:rFonts w:hint="eastAsia" w:ascii="宋体" w:hAnsi="宋体" w:eastAsia="宋体" w:cs="宋体"/>
                <w:color w:val="auto"/>
                <w:spacing w:val="4"/>
                <w:sz w:val="24"/>
                <w:szCs w:val="24"/>
              </w:rPr>
              <w:t>工</w:t>
            </w:r>
            <w:r>
              <w:rPr>
                <w:rFonts w:hint="eastAsia" w:ascii="宋体" w:hAnsi="宋体" w:eastAsia="宋体" w:cs="宋体"/>
                <w:color w:val="auto"/>
                <w:spacing w:val="3"/>
                <w:sz w:val="24"/>
                <w:szCs w:val="24"/>
              </w:rPr>
              <w:t>期</w:t>
            </w:r>
          </w:p>
        </w:tc>
        <w:tc>
          <w:tcPr>
            <w:tcW w:w="7600" w:type="dxa"/>
            <w:shd w:val="clear" w:color="auto" w:fill="auto"/>
            <w:noWrap w:val="0"/>
          </w:tcPr>
          <w:p w14:paraId="34292F98">
            <w:pPr>
              <w:spacing w:line="332" w:lineRule="auto"/>
              <w:rPr>
                <w:rFonts w:hint="eastAsia" w:ascii="宋体" w:hAnsi="宋体" w:eastAsia="宋体" w:cs="宋体"/>
                <w:color w:val="auto"/>
                <w:sz w:val="24"/>
                <w:szCs w:val="24"/>
              </w:rPr>
            </w:pPr>
          </w:p>
          <w:p w14:paraId="10C7A352">
            <w:pPr>
              <w:spacing w:line="332" w:lineRule="auto"/>
              <w:rPr>
                <w:rFonts w:hint="eastAsia" w:ascii="宋体" w:hAnsi="宋体" w:eastAsia="宋体" w:cs="宋体"/>
                <w:color w:val="auto"/>
                <w:sz w:val="24"/>
                <w:szCs w:val="24"/>
              </w:rPr>
            </w:pPr>
          </w:p>
          <w:p w14:paraId="7D81ACF4">
            <w:pPr>
              <w:spacing w:before="75" w:line="228" w:lineRule="auto"/>
              <w:ind w:firstLine="232"/>
              <w:rPr>
                <w:rFonts w:hint="eastAsia" w:ascii="宋体" w:hAnsi="宋体" w:eastAsia="宋体" w:cs="宋体"/>
                <w:color w:val="auto"/>
                <w:sz w:val="24"/>
                <w:szCs w:val="24"/>
              </w:rPr>
            </w:pPr>
            <w:r>
              <w:rPr>
                <w:rFonts w:hint="eastAsia" w:ascii="宋体" w:hAnsi="宋体" w:eastAsia="宋体" w:cs="宋体"/>
                <w:color w:val="auto"/>
                <w:sz w:val="24"/>
                <w:szCs w:val="24"/>
              </w:rPr>
              <w:t>签订合同后</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none"/>
              </w:rPr>
              <w:t>天</w:t>
            </w:r>
            <w:r>
              <w:rPr>
                <w:rFonts w:hint="eastAsia" w:ascii="宋体" w:hAnsi="宋体" w:eastAsia="宋体" w:cs="宋体"/>
                <w:color w:val="auto"/>
                <w:sz w:val="24"/>
                <w:szCs w:val="24"/>
              </w:rPr>
              <w:t>内竣工</w:t>
            </w:r>
          </w:p>
        </w:tc>
      </w:tr>
      <w:tr w14:paraId="118595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9" w:hRule="atLeast"/>
        </w:trPr>
        <w:tc>
          <w:tcPr>
            <w:tcW w:w="9143" w:type="dxa"/>
            <w:gridSpan w:val="2"/>
            <w:shd w:val="clear" w:color="auto" w:fill="auto"/>
            <w:noWrap w:val="0"/>
          </w:tcPr>
          <w:p w14:paraId="5843B9B2">
            <w:pPr>
              <w:spacing w:line="467" w:lineRule="auto"/>
              <w:rPr>
                <w:rFonts w:hint="eastAsia" w:ascii="宋体" w:hAnsi="宋体" w:eastAsia="宋体" w:cs="宋体"/>
                <w:color w:val="auto"/>
                <w:sz w:val="24"/>
                <w:szCs w:val="24"/>
              </w:rPr>
            </w:pPr>
          </w:p>
          <w:p w14:paraId="3DACDC6B">
            <w:pPr>
              <w:spacing w:before="74" w:line="399" w:lineRule="exact"/>
              <w:ind w:firstLine="242"/>
              <w:rPr>
                <w:rFonts w:hint="eastAsia" w:ascii="宋体" w:hAnsi="宋体" w:eastAsia="宋体" w:cs="宋体"/>
                <w:color w:val="auto"/>
                <w:sz w:val="24"/>
                <w:szCs w:val="24"/>
              </w:rPr>
            </w:pPr>
            <w:r>
              <w:rPr>
                <w:rFonts w:hint="eastAsia" w:ascii="宋体" w:hAnsi="宋体" w:eastAsia="宋体" w:cs="宋体"/>
                <w:color w:val="auto"/>
                <w:spacing w:val="6"/>
                <w:position w:val="11"/>
                <w:sz w:val="24"/>
                <w:szCs w:val="24"/>
              </w:rPr>
              <w:t>质量标准</w:t>
            </w:r>
            <w:r>
              <w:rPr>
                <w:rFonts w:hint="eastAsia" w:ascii="宋体" w:hAnsi="宋体" w:eastAsia="宋体" w:cs="宋体"/>
                <w:color w:val="auto"/>
                <w:spacing w:val="5"/>
                <w:position w:val="11"/>
                <w:sz w:val="24"/>
                <w:szCs w:val="24"/>
              </w:rPr>
              <w:t>：</w:t>
            </w:r>
          </w:p>
          <w:p w14:paraId="387B9888">
            <w:pPr>
              <w:spacing w:line="228" w:lineRule="auto"/>
              <w:ind w:firstLine="242"/>
              <w:rPr>
                <w:rFonts w:hint="eastAsia" w:ascii="宋体" w:hAnsi="宋体" w:eastAsia="宋体" w:cs="宋体"/>
                <w:color w:val="auto"/>
                <w:sz w:val="24"/>
                <w:szCs w:val="24"/>
              </w:rPr>
            </w:pPr>
            <w:r>
              <w:rPr>
                <w:rFonts w:hint="eastAsia" w:ascii="宋体" w:hAnsi="宋体" w:eastAsia="宋体" w:cs="宋体"/>
                <w:color w:val="auto"/>
                <w:spacing w:val="6"/>
                <w:sz w:val="24"/>
                <w:szCs w:val="24"/>
              </w:rPr>
              <w:t>项目负责人：</w:t>
            </w:r>
          </w:p>
        </w:tc>
      </w:tr>
    </w:tbl>
    <w:p w14:paraId="4D0E795D">
      <w:pPr>
        <w:spacing w:line="360" w:lineRule="auto"/>
        <w:outlineLvl w:val="9"/>
        <w:rPr>
          <w:rFonts w:hint="eastAsia" w:ascii="宋体" w:hAnsi="宋体" w:eastAsia="宋体" w:cs="宋体"/>
          <w:b/>
          <w:color w:val="auto"/>
          <w:sz w:val="28"/>
          <w:szCs w:val="28"/>
        </w:rPr>
      </w:pPr>
    </w:p>
    <w:p w14:paraId="6020BD85">
      <w:pPr>
        <w:spacing w:line="360" w:lineRule="auto"/>
        <w:outlineLvl w:val="9"/>
        <w:rPr>
          <w:rFonts w:hint="eastAsia" w:ascii="宋体" w:hAnsi="宋体" w:eastAsia="宋体" w:cs="宋体"/>
          <w:b/>
          <w:color w:val="auto"/>
          <w:sz w:val="28"/>
          <w:szCs w:val="28"/>
        </w:rPr>
      </w:pPr>
    </w:p>
    <w:p w14:paraId="5B1B26E5">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磋商单位盖章：                   法定代表人(授权代表)签名：</w:t>
      </w:r>
    </w:p>
    <w:p w14:paraId="07E38A5B">
      <w:pPr>
        <w:spacing w:line="400" w:lineRule="exact"/>
        <w:ind w:firstLine="480"/>
        <w:rPr>
          <w:rFonts w:hint="eastAsia" w:ascii="宋体" w:hAnsi="宋体" w:eastAsia="宋体" w:cs="宋体"/>
          <w:color w:val="auto"/>
          <w:sz w:val="24"/>
        </w:rPr>
      </w:pPr>
    </w:p>
    <w:p w14:paraId="589F34EA">
      <w:pPr>
        <w:spacing w:line="400" w:lineRule="exact"/>
        <w:ind w:firstLine="480"/>
        <w:rPr>
          <w:rFonts w:hint="eastAsia" w:ascii="宋体" w:hAnsi="宋体" w:eastAsia="宋体" w:cs="宋体"/>
          <w:color w:val="auto"/>
          <w:sz w:val="24"/>
        </w:rPr>
      </w:pPr>
    </w:p>
    <w:p w14:paraId="0979077B">
      <w:pPr>
        <w:spacing w:line="400" w:lineRule="exact"/>
        <w:ind w:firstLine="480"/>
        <w:rPr>
          <w:rFonts w:hint="eastAsia" w:ascii="宋体" w:hAnsi="宋体" w:eastAsia="宋体" w:cs="宋体"/>
          <w:b/>
          <w:bCs/>
          <w:color w:val="auto"/>
          <w:sz w:val="24"/>
        </w:rPr>
      </w:pPr>
      <w:r>
        <w:rPr>
          <w:rFonts w:hint="eastAsia" w:ascii="宋体" w:hAnsi="宋体" w:eastAsia="宋体" w:cs="宋体"/>
          <w:color w:val="auto"/>
          <w:sz w:val="24"/>
        </w:rPr>
        <w:t>注：①磋商报价应包括磋商文件所确定的采购范围的全部内容，但</w:t>
      </w:r>
      <w:r>
        <w:rPr>
          <w:rFonts w:hint="eastAsia" w:ascii="宋体" w:hAnsi="宋体" w:eastAsia="宋体" w:cs="宋体"/>
          <w:b/>
          <w:bCs/>
          <w:color w:val="auto"/>
          <w:sz w:val="24"/>
        </w:rPr>
        <w:t>该表报价非本次磋商的最后报价。</w:t>
      </w:r>
    </w:p>
    <w:p w14:paraId="6718C1A5">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②此表格式不得自行改动。</w:t>
      </w:r>
    </w:p>
    <w:p w14:paraId="768D6D98">
      <w:pPr>
        <w:spacing w:line="360" w:lineRule="auto"/>
        <w:outlineLvl w:val="9"/>
        <w:rPr>
          <w:rFonts w:hint="eastAsia" w:ascii="宋体" w:hAnsi="宋体" w:eastAsia="宋体" w:cs="宋体"/>
          <w:b/>
          <w:color w:val="auto"/>
          <w:sz w:val="28"/>
          <w:szCs w:val="28"/>
        </w:rPr>
      </w:pPr>
    </w:p>
    <w:p w14:paraId="2C2EEBF4">
      <w:pPr>
        <w:pStyle w:val="67"/>
        <w:rPr>
          <w:rFonts w:hint="eastAsia" w:ascii="宋体" w:hAnsi="宋体" w:eastAsia="宋体" w:cs="宋体"/>
          <w:color w:val="auto"/>
        </w:rPr>
      </w:pPr>
    </w:p>
    <w:p w14:paraId="33CE9F4E">
      <w:pPr>
        <w:pStyle w:val="67"/>
        <w:rPr>
          <w:rFonts w:hint="eastAsia" w:ascii="宋体" w:hAnsi="宋体" w:eastAsia="宋体" w:cs="宋体"/>
          <w:color w:val="auto"/>
        </w:rPr>
      </w:pPr>
    </w:p>
    <w:p w14:paraId="1CC329EF">
      <w:pPr>
        <w:pStyle w:val="67"/>
        <w:rPr>
          <w:rFonts w:hint="eastAsia" w:ascii="宋体" w:hAnsi="宋体" w:eastAsia="宋体" w:cs="宋体"/>
          <w:color w:val="auto"/>
        </w:rPr>
      </w:pPr>
    </w:p>
    <w:p w14:paraId="5C164073">
      <w:pPr>
        <w:pStyle w:val="67"/>
        <w:rPr>
          <w:rFonts w:hint="eastAsia" w:ascii="宋体" w:hAnsi="宋体" w:eastAsia="宋体" w:cs="宋体"/>
          <w:color w:val="auto"/>
        </w:rPr>
      </w:pPr>
    </w:p>
    <w:p w14:paraId="068AF3AF">
      <w:pPr>
        <w:spacing w:line="360" w:lineRule="auto"/>
        <w:outlineLvl w:val="9"/>
        <w:rPr>
          <w:rFonts w:hint="eastAsia" w:ascii="宋体" w:hAnsi="宋体" w:eastAsia="宋体" w:cs="宋体"/>
          <w:b/>
          <w:color w:val="auto"/>
          <w:sz w:val="28"/>
          <w:szCs w:val="28"/>
        </w:rPr>
      </w:pPr>
    </w:p>
    <w:p w14:paraId="657CF890">
      <w:pPr>
        <w:keepNext w:val="0"/>
        <w:keepLines w:val="0"/>
        <w:pageBreakBefore w:val="0"/>
        <w:widowControl w:val="0"/>
        <w:spacing w:after="181" w:line="360" w:lineRule="auto"/>
        <w:ind w:firstLine="1687"/>
        <w:jc w:val="both"/>
        <w:outlineLvl w:val="1"/>
        <w:rPr>
          <w:rFonts w:hint="eastAsia" w:ascii="宋体" w:hAnsi="宋体" w:cs="宋体"/>
          <w:b/>
          <w:color w:val="auto"/>
          <w:sz w:val="28"/>
          <w:szCs w:val="28"/>
          <w:lang w:val="en-US" w:eastAsia="zh-CN"/>
        </w:rPr>
      </w:pPr>
      <w:bookmarkStart w:id="720" w:name="_Toc14569"/>
      <w:bookmarkStart w:id="721" w:name="_Toc23399"/>
      <w:bookmarkStart w:id="722" w:name="_Toc22246"/>
      <w:bookmarkStart w:id="723" w:name="_Toc9022"/>
      <w:bookmarkStart w:id="724" w:name="_Toc6932"/>
      <w:bookmarkStart w:id="725" w:name="_Toc9495"/>
      <w:bookmarkStart w:id="726" w:name="_Toc11332"/>
      <w:bookmarkStart w:id="727" w:name="_Toc20909"/>
      <w:r>
        <w:rPr>
          <w:rFonts w:hint="eastAsia" w:ascii="宋体" w:hAnsi="宋体" w:cs="宋体"/>
          <w:b/>
          <w:color w:val="auto"/>
          <w:sz w:val="28"/>
          <w:szCs w:val="28"/>
          <w:lang w:val="en-US" w:eastAsia="zh-CN"/>
        </w:rPr>
        <w:t>三、中小企业声明函、残疾人福利性单位声明函</w:t>
      </w:r>
    </w:p>
    <w:p w14:paraId="488AF0E9">
      <w:pPr>
        <w:keepNext w:val="0"/>
        <w:keepLines w:val="0"/>
        <w:pageBreakBefore w:val="0"/>
        <w:widowControl w:val="0"/>
        <w:spacing w:after="181" w:line="360" w:lineRule="auto"/>
        <w:jc w:val="both"/>
        <w:outlineLvl w:val="1"/>
        <w:rPr>
          <w:rFonts w:hint="default" w:ascii="宋体" w:hAnsi="宋体" w:eastAsia="宋体" w:cs="宋体"/>
          <w:b/>
          <w:color w:val="auto"/>
          <w:sz w:val="28"/>
          <w:szCs w:val="28"/>
          <w:lang w:val="en-US" w:eastAsia="zh-CN"/>
        </w:rPr>
      </w:pPr>
    </w:p>
    <w:p w14:paraId="0CD6B68E">
      <w:pPr>
        <w:keepNext w:val="0"/>
        <w:keepLines w:val="0"/>
        <w:pageBreakBefore w:val="0"/>
        <w:widowControl w:val="0"/>
        <w:spacing w:after="181" w:line="360" w:lineRule="auto"/>
        <w:jc w:val="center"/>
        <w:outlineLvl w:val="1"/>
        <w:rPr>
          <w:rFonts w:hint="eastAsia" w:ascii="宋体" w:hAnsi="宋体" w:eastAsia="宋体" w:cs="宋体"/>
          <w:b/>
          <w:color w:val="auto"/>
          <w:sz w:val="28"/>
          <w:szCs w:val="28"/>
        </w:rPr>
      </w:pPr>
      <w:r>
        <w:rPr>
          <w:rFonts w:hint="eastAsia" w:ascii="宋体" w:hAnsi="宋体" w:eastAsia="宋体" w:cs="宋体"/>
          <w:b/>
          <w:color w:val="auto"/>
          <w:sz w:val="28"/>
          <w:szCs w:val="28"/>
        </w:rPr>
        <w:t>中小企业声明函</w:t>
      </w:r>
      <w:bookmarkEnd w:id="720"/>
      <w:bookmarkEnd w:id="721"/>
      <w:bookmarkEnd w:id="722"/>
      <w:bookmarkEnd w:id="723"/>
      <w:bookmarkEnd w:id="724"/>
      <w:bookmarkEnd w:id="725"/>
      <w:bookmarkEnd w:id="726"/>
      <w:bookmarkEnd w:id="727"/>
    </w:p>
    <w:p w14:paraId="43E79D6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本公司郑重声明，根据《政府采购促进中小企业发展管理办法》（财库﹝2020﹞46号）的规定，本公司参加</w:t>
      </w:r>
      <w:r>
        <w:rPr>
          <w:rFonts w:hint="eastAsia" w:ascii="宋体" w:hAnsi="宋体" w:eastAsia="宋体" w:cs="宋体"/>
          <w:color w:val="auto"/>
          <w:sz w:val="24"/>
          <w:u w:val="single"/>
        </w:rPr>
        <w:t>（单位名称）</w:t>
      </w:r>
      <w:r>
        <w:rPr>
          <w:rFonts w:hint="eastAsia" w:ascii="宋体" w:hAnsi="宋体" w:eastAsia="宋体" w:cs="宋体"/>
          <w:color w:val="auto"/>
          <w:sz w:val="24"/>
        </w:rPr>
        <w:t>的</w:t>
      </w:r>
      <w:r>
        <w:rPr>
          <w:rFonts w:hint="eastAsia" w:ascii="宋体" w:hAnsi="宋体" w:eastAsia="宋体" w:cs="宋体"/>
          <w:color w:val="auto"/>
          <w:sz w:val="24"/>
          <w:u w:val="single"/>
        </w:rPr>
        <w:t>（项目名称）</w:t>
      </w:r>
      <w:r>
        <w:rPr>
          <w:rFonts w:hint="eastAsia" w:ascii="宋体" w:hAnsi="宋体" w:eastAsia="宋体" w:cs="宋体"/>
          <w:color w:val="auto"/>
          <w:sz w:val="24"/>
        </w:rPr>
        <w:t>采购活动，工程的施工单位全部为符合政策要求的中小企业。</w:t>
      </w:r>
    </w:p>
    <w:p w14:paraId="51A3DF4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u w:val="single"/>
        </w:rPr>
        <w:t xml:space="preserve">（标的名称） </w:t>
      </w:r>
      <w:r>
        <w:rPr>
          <w:rFonts w:hint="eastAsia" w:ascii="宋体" w:hAnsi="宋体" w:eastAsia="宋体" w:cs="宋体"/>
          <w:color w:val="auto"/>
          <w:sz w:val="24"/>
        </w:rPr>
        <w:t>，属于</w:t>
      </w:r>
      <w:r>
        <w:rPr>
          <w:rFonts w:hint="eastAsia" w:ascii="宋体" w:hAnsi="宋体" w:eastAsia="宋体" w:cs="宋体"/>
          <w:color w:val="auto"/>
          <w:sz w:val="24"/>
          <w:u w:val="single"/>
        </w:rPr>
        <w:t xml:space="preserve">（采购文件中明确的所属行业） </w:t>
      </w:r>
      <w:r>
        <w:rPr>
          <w:rFonts w:hint="eastAsia" w:ascii="宋体" w:hAnsi="宋体" w:eastAsia="宋体" w:cs="宋体"/>
          <w:color w:val="auto"/>
          <w:sz w:val="24"/>
        </w:rPr>
        <w:t>行业；承建企业为</w:t>
      </w:r>
      <w:r>
        <w:rPr>
          <w:rFonts w:hint="eastAsia" w:ascii="宋体" w:hAnsi="宋体" w:eastAsia="宋体" w:cs="宋体"/>
          <w:color w:val="auto"/>
          <w:sz w:val="24"/>
          <w:u w:val="single"/>
        </w:rPr>
        <w:t>（企业名称）</w:t>
      </w:r>
      <w:r>
        <w:rPr>
          <w:rFonts w:hint="eastAsia" w:ascii="宋体" w:hAnsi="宋体" w:eastAsia="宋体" w:cs="宋体"/>
          <w:color w:val="auto"/>
          <w:sz w:val="24"/>
        </w:rPr>
        <w:t>，从业人员</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人，营业收入为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万元，资产总额为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万元，属于</w:t>
      </w:r>
      <w:r>
        <w:rPr>
          <w:rFonts w:hint="eastAsia" w:ascii="宋体" w:hAnsi="宋体" w:eastAsia="宋体" w:cs="宋体"/>
          <w:color w:val="auto"/>
          <w:sz w:val="24"/>
          <w:u w:val="single"/>
        </w:rPr>
        <w:t>（中型企业、小型企业、微型企业）</w:t>
      </w:r>
      <w:r>
        <w:rPr>
          <w:rFonts w:hint="eastAsia" w:ascii="宋体" w:hAnsi="宋体" w:eastAsia="宋体" w:cs="宋体"/>
          <w:color w:val="auto"/>
          <w:sz w:val="24"/>
        </w:rPr>
        <w:t xml:space="preserve">； </w:t>
      </w:r>
    </w:p>
    <w:p w14:paraId="051C1BA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以上企业，不属于大企业的分支机构，不存在控股股东为大企业的情形，也不存在与大企业的负责人为同一人的情形。</w:t>
      </w:r>
    </w:p>
    <w:p w14:paraId="54B991C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 </w:t>
      </w:r>
    </w:p>
    <w:p w14:paraId="64160F01">
      <w:pPr>
        <w:spacing w:line="360" w:lineRule="auto"/>
        <w:ind w:firstLine="480"/>
        <w:rPr>
          <w:rFonts w:hint="eastAsia" w:ascii="宋体" w:hAnsi="宋体" w:eastAsia="宋体" w:cs="宋体"/>
          <w:color w:val="auto"/>
          <w:sz w:val="24"/>
        </w:rPr>
      </w:pPr>
    </w:p>
    <w:p w14:paraId="3A761F78">
      <w:pPr>
        <w:spacing w:line="360" w:lineRule="auto"/>
        <w:ind w:firstLine="5040"/>
        <w:rPr>
          <w:rFonts w:hint="eastAsia" w:ascii="宋体" w:hAnsi="宋体" w:eastAsia="宋体" w:cs="宋体"/>
          <w:color w:val="auto"/>
          <w:sz w:val="24"/>
          <w:szCs w:val="21"/>
        </w:rPr>
      </w:pPr>
      <w:r>
        <w:rPr>
          <w:rFonts w:hint="eastAsia" w:ascii="宋体" w:hAnsi="宋体" w:eastAsia="宋体" w:cs="宋体"/>
          <w:bCs/>
          <w:color w:val="auto"/>
          <w:sz w:val="24"/>
        </w:rPr>
        <w:t>企业名称（盖章）</w:t>
      </w:r>
      <w:r>
        <w:rPr>
          <w:rFonts w:hint="eastAsia" w:ascii="宋体" w:hAnsi="宋体" w:eastAsia="宋体" w:cs="宋体"/>
          <w:color w:val="auto"/>
          <w:sz w:val="24"/>
          <w:szCs w:val="21"/>
        </w:rPr>
        <w:t>：</w:t>
      </w:r>
    </w:p>
    <w:p w14:paraId="6C0855FD">
      <w:pPr>
        <w:spacing w:line="360" w:lineRule="auto"/>
        <w:ind w:firstLine="5040"/>
        <w:rPr>
          <w:rFonts w:hint="eastAsia" w:ascii="宋体" w:hAnsi="宋体" w:eastAsia="宋体" w:cs="宋体"/>
          <w:color w:val="auto"/>
          <w:sz w:val="24"/>
          <w:szCs w:val="21"/>
        </w:rPr>
      </w:pPr>
      <w:r>
        <w:rPr>
          <w:rFonts w:hint="eastAsia" w:ascii="宋体" w:hAnsi="宋体" w:eastAsia="宋体" w:cs="宋体"/>
          <w:color w:val="auto"/>
          <w:sz w:val="24"/>
          <w:szCs w:val="21"/>
        </w:rPr>
        <w:t>日期：   年   月   日</w:t>
      </w:r>
    </w:p>
    <w:p w14:paraId="6C162A5C">
      <w:pPr>
        <w:spacing w:line="360" w:lineRule="auto"/>
        <w:ind w:right="480"/>
        <w:rPr>
          <w:rFonts w:hint="eastAsia" w:ascii="宋体" w:hAnsi="宋体" w:eastAsia="宋体" w:cs="宋体"/>
          <w:b/>
          <w:color w:val="auto"/>
          <w:sz w:val="24"/>
        </w:rPr>
      </w:pPr>
    </w:p>
    <w:p w14:paraId="0F9918B6">
      <w:pPr>
        <w:spacing w:line="360" w:lineRule="auto"/>
        <w:ind w:right="480"/>
        <w:rPr>
          <w:rFonts w:hint="eastAsia" w:ascii="宋体" w:hAnsi="宋体" w:eastAsia="宋体" w:cs="宋体"/>
          <w:b/>
          <w:color w:val="auto"/>
          <w:sz w:val="24"/>
        </w:rPr>
      </w:pPr>
    </w:p>
    <w:p w14:paraId="1F11BE60">
      <w:pPr>
        <w:spacing w:line="360" w:lineRule="auto"/>
        <w:ind w:firstLine="482"/>
        <w:jc w:val="left"/>
        <w:rPr>
          <w:rFonts w:hint="eastAsia" w:ascii="宋体" w:hAnsi="宋体" w:eastAsia="宋体" w:cs="宋体"/>
          <w:b/>
          <w:color w:val="auto"/>
          <w:sz w:val="24"/>
        </w:rPr>
      </w:pPr>
    </w:p>
    <w:p w14:paraId="0759E71C">
      <w:pPr>
        <w:spacing w:line="360" w:lineRule="auto"/>
        <w:ind w:firstLine="482"/>
        <w:jc w:val="left"/>
        <w:rPr>
          <w:rFonts w:hint="eastAsia" w:ascii="宋体" w:hAnsi="宋体" w:eastAsia="宋体" w:cs="宋体"/>
          <w:b/>
          <w:color w:val="auto"/>
          <w:sz w:val="24"/>
        </w:rPr>
      </w:pPr>
    </w:p>
    <w:p w14:paraId="3EC951A2">
      <w:pPr>
        <w:spacing w:line="360" w:lineRule="auto"/>
        <w:ind w:firstLine="482"/>
        <w:jc w:val="left"/>
        <w:rPr>
          <w:rFonts w:hint="eastAsia" w:ascii="宋体" w:hAnsi="宋体" w:eastAsia="宋体" w:cs="宋体"/>
          <w:b/>
          <w:color w:val="auto"/>
          <w:sz w:val="24"/>
        </w:rPr>
      </w:pPr>
    </w:p>
    <w:p w14:paraId="436BE725">
      <w:pPr>
        <w:spacing w:line="360" w:lineRule="auto"/>
        <w:jc w:val="left"/>
        <w:rPr>
          <w:rFonts w:hint="eastAsia" w:ascii="宋体" w:hAnsi="宋体" w:eastAsia="宋体" w:cs="宋体"/>
          <w:b/>
          <w:color w:val="auto"/>
          <w:sz w:val="24"/>
        </w:rPr>
      </w:pPr>
    </w:p>
    <w:p w14:paraId="3F5F3798">
      <w:pPr>
        <w:spacing w:line="360" w:lineRule="auto"/>
        <w:ind w:firstLine="482"/>
        <w:jc w:val="left"/>
        <w:rPr>
          <w:rFonts w:hint="eastAsia" w:ascii="宋体" w:hAnsi="宋体" w:eastAsia="宋体" w:cs="宋体"/>
          <w:b/>
          <w:color w:val="auto"/>
          <w:sz w:val="24"/>
        </w:rPr>
      </w:pPr>
    </w:p>
    <w:p w14:paraId="237B5F14">
      <w:pPr>
        <w:pStyle w:val="66"/>
        <w:rPr>
          <w:rFonts w:hint="eastAsia"/>
          <w:color w:val="auto"/>
        </w:rPr>
      </w:pPr>
    </w:p>
    <w:p w14:paraId="5C661BE2">
      <w:pPr>
        <w:spacing w:line="360" w:lineRule="auto"/>
        <w:ind w:firstLine="480"/>
        <w:jc w:val="left"/>
        <w:rPr>
          <w:rFonts w:hint="eastAsia" w:ascii="宋体" w:hAnsi="宋体" w:eastAsia="宋体" w:cs="宋体"/>
          <w:bCs/>
          <w:color w:val="auto"/>
          <w:sz w:val="24"/>
        </w:rPr>
      </w:pPr>
      <w:r>
        <w:rPr>
          <w:rFonts w:hint="eastAsia" w:ascii="宋体" w:hAnsi="宋体" w:eastAsia="宋体" w:cs="宋体"/>
          <w:bCs/>
          <w:color w:val="auto"/>
          <w:sz w:val="24"/>
        </w:rPr>
        <w:t>填报说明：</w:t>
      </w:r>
    </w:p>
    <w:p w14:paraId="4046D3BE">
      <w:pPr>
        <w:pStyle w:val="66"/>
        <w:rPr>
          <w:rFonts w:hint="eastAsia"/>
          <w:color w:val="auto"/>
        </w:rPr>
      </w:pPr>
    </w:p>
    <w:p w14:paraId="5F93A83D">
      <w:pPr>
        <w:spacing w:line="360" w:lineRule="auto"/>
        <w:ind w:firstLine="480"/>
        <w:jc w:val="left"/>
        <w:rPr>
          <w:rFonts w:hint="eastAsia" w:ascii="宋体" w:hAnsi="宋体" w:eastAsia="宋体" w:cs="宋体"/>
          <w:bCs/>
          <w:color w:val="auto"/>
          <w:sz w:val="24"/>
        </w:rPr>
      </w:pPr>
      <w:r>
        <w:rPr>
          <w:rFonts w:hint="eastAsia" w:ascii="宋体" w:hAnsi="宋体" w:eastAsia="宋体" w:cs="宋体"/>
          <w:bCs/>
          <w:color w:val="auto"/>
          <w:sz w:val="24"/>
        </w:rPr>
        <w:t>1、从业人员、营业收入、资产总额填报上一年度数据，无上一年度数据的新成立企业可不填报。</w:t>
      </w:r>
    </w:p>
    <w:p w14:paraId="1AF970A3">
      <w:pPr>
        <w:spacing w:line="360" w:lineRule="auto"/>
        <w:ind w:firstLine="480"/>
        <w:jc w:val="left"/>
        <w:rPr>
          <w:rFonts w:hint="eastAsia" w:ascii="宋体" w:hAnsi="宋体" w:eastAsia="宋体" w:cs="宋体"/>
          <w:bCs/>
          <w:color w:val="auto"/>
          <w:sz w:val="24"/>
        </w:rPr>
      </w:pPr>
      <w:r>
        <w:rPr>
          <w:rFonts w:hint="eastAsia" w:ascii="宋体" w:hAnsi="宋体" w:eastAsia="宋体" w:cs="宋体"/>
          <w:bCs/>
          <w:color w:val="auto"/>
          <w:sz w:val="24"/>
        </w:rPr>
        <w:t>2、请供应商如实填写，所填内容将作为评审的依据。如填写不完整，将不享受扶持政策。</w:t>
      </w:r>
    </w:p>
    <w:p w14:paraId="1A117E0A">
      <w:pPr>
        <w:spacing w:line="360" w:lineRule="auto"/>
        <w:ind w:firstLine="480"/>
        <w:jc w:val="left"/>
        <w:rPr>
          <w:rFonts w:hint="eastAsia" w:ascii="宋体" w:hAnsi="宋体" w:eastAsia="宋体" w:cs="宋体"/>
          <w:bCs/>
          <w:color w:val="auto"/>
          <w:sz w:val="24"/>
        </w:rPr>
      </w:pPr>
      <w:r>
        <w:rPr>
          <w:rFonts w:hint="eastAsia" w:ascii="宋体" w:hAnsi="宋体" w:eastAsia="宋体" w:cs="宋体"/>
          <w:bCs/>
          <w:color w:val="auto"/>
          <w:sz w:val="24"/>
        </w:rPr>
        <w:t>3、成交供应商的《中小企业声明函》随成交结果公开。</w:t>
      </w:r>
    </w:p>
    <w:p w14:paraId="26D90394">
      <w:pPr>
        <w:spacing w:line="360" w:lineRule="auto"/>
        <w:ind w:firstLine="6776"/>
        <w:rPr>
          <w:rFonts w:hint="eastAsia" w:ascii="宋体" w:hAnsi="宋体" w:eastAsia="宋体" w:cs="宋体"/>
          <w:b/>
          <w:color w:val="auto"/>
          <w:sz w:val="30"/>
          <w:szCs w:val="30"/>
          <w:u w:val="single"/>
        </w:rPr>
      </w:pPr>
    </w:p>
    <w:p w14:paraId="1B718F03">
      <w:pPr>
        <w:pStyle w:val="67"/>
        <w:rPr>
          <w:rFonts w:hint="eastAsia" w:ascii="宋体" w:hAnsi="宋体" w:eastAsia="宋体" w:cs="宋体"/>
          <w:color w:val="auto"/>
        </w:rPr>
      </w:pPr>
    </w:p>
    <w:p w14:paraId="7AB66C1E">
      <w:pPr>
        <w:keepNext w:val="0"/>
        <w:keepLines w:val="0"/>
        <w:pageBreakBefore w:val="0"/>
        <w:widowControl w:val="0"/>
        <w:spacing w:after="181" w:line="360" w:lineRule="auto"/>
        <w:jc w:val="center"/>
        <w:outlineLvl w:val="0"/>
        <w:rPr>
          <w:rFonts w:hint="eastAsia" w:ascii="宋体" w:hAnsi="宋体" w:eastAsia="宋体" w:cs="宋体"/>
          <w:b/>
          <w:color w:val="auto"/>
          <w:sz w:val="28"/>
          <w:szCs w:val="28"/>
        </w:rPr>
      </w:pPr>
      <w:bookmarkStart w:id="728" w:name="_Toc27427"/>
      <w:bookmarkStart w:id="729" w:name="_Toc8985"/>
      <w:bookmarkStart w:id="730" w:name="_Toc3351"/>
      <w:bookmarkStart w:id="731" w:name="_Toc30969"/>
      <w:bookmarkStart w:id="732" w:name="_Toc12389"/>
      <w:bookmarkStart w:id="733" w:name="_Toc28932"/>
      <w:bookmarkStart w:id="734" w:name="_Toc11710"/>
      <w:bookmarkStart w:id="735" w:name="_Toc19279"/>
      <w:r>
        <w:rPr>
          <w:rFonts w:hint="eastAsia" w:ascii="宋体" w:hAnsi="宋体" w:eastAsia="宋体" w:cs="宋体"/>
          <w:b/>
          <w:color w:val="auto"/>
          <w:sz w:val="28"/>
          <w:szCs w:val="28"/>
        </w:rPr>
        <w:t>残疾人福利性单位声明函</w:t>
      </w:r>
      <w:bookmarkEnd w:id="728"/>
      <w:bookmarkEnd w:id="729"/>
      <w:bookmarkEnd w:id="730"/>
      <w:bookmarkEnd w:id="731"/>
      <w:bookmarkEnd w:id="732"/>
      <w:bookmarkEnd w:id="733"/>
      <w:bookmarkEnd w:id="734"/>
      <w:bookmarkEnd w:id="735"/>
    </w:p>
    <w:p w14:paraId="5FF55D42">
      <w:pPr>
        <w:spacing w:line="360" w:lineRule="auto"/>
        <w:ind w:firstLine="480"/>
        <w:rPr>
          <w:rFonts w:hint="eastAsia" w:ascii="宋体" w:hAnsi="宋体" w:eastAsia="宋体" w:cs="宋体"/>
          <w:color w:val="auto"/>
          <w:sz w:val="24"/>
          <w:szCs w:val="21"/>
        </w:rPr>
      </w:pPr>
      <w:r>
        <w:rPr>
          <w:rFonts w:hint="eastAsia" w:ascii="宋体" w:hAnsi="宋体" w:eastAsia="宋体" w:cs="宋体"/>
          <w:color w:val="auto"/>
          <w:sz w:val="24"/>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单位的</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项目由本单位承建。</w:t>
      </w:r>
    </w:p>
    <w:p w14:paraId="779CC7A4">
      <w:pPr>
        <w:spacing w:line="360" w:lineRule="auto"/>
        <w:ind w:firstLine="480"/>
        <w:rPr>
          <w:rFonts w:hint="eastAsia" w:ascii="宋体" w:hAnsi="宋体" w:eastAsia="宋体" w:cs="宋体"/>
          <w:color w:val="auto"/>
          <w:sz w:val="24"/>
          <w:szCs w:val="21"/>
        </w:rPr>
      </w:pPr>
      <w:r>
        <w:rPr>
          <w:rFonts w:hint="eastAsia" w:ascii="宋体" w:hAnsi="宋体" w:eastAsia="宋体" w:cs="宋体"/>
          <w:color w:val="auto"/>
          <w:sz w:val="24"/>
          <w:szCs w:val="21"/>
        </w:rPr>
        <w:t>本单位对上述声明的真实性负责。如有虚假，将依法承担相应责任。</w:t>
      </w:r>
    </w:p>
    <w:p w14:paraId="302AC0F9">
      <w:pPr>
        <w:spacing w:line="360" w:lineRule="auto"/>
        <w:ind w:firstLine="480"/>
        <w:rPr>
          <w:rFonts w:hint="eastAsia" w:ascii="宋体" w:hAnsi="宋体" w:eastAsia="宋体" w:cs="宋体"/>
          <w:color w:val="auto"/>
          <w:sz w:val="24"/>
          <w:szCs w:val="21"/>
        </w:rPr>
      </w:pPr>
    </w:p>
    <w:p w14:paraId="0069548B">
      <w:pPr>
        <w:spacing w:line="360" w:lineRule="auto"/>
        <w:ind w:firstLine="480"/>
        <w:rPr>
          <w:rFonts w:hint="eastAsia" w:ascii="宋体" w:hAnsi="宋体" w:eastAsia="宋体" w:cs="宋体"/>
          <w:color w:val="auto"/>
          <w:sz w:val="24"/>
          <w:szCs w:val="21"/>
        </w:rPr>
      </w:pPr>
    </w:p>
    <w:p w14:paraId="4CCBDB45">
      <w:pPr>
        <w:spacing w:line="360" w:lineRule="auto"/>
        <w:ind w:firstLine="480"/>
        <w:rPr>
          <w:rFonts w:hint="eastAsia" w:ascii="宋体" w:hAnsi="宋体" w:eastAsia="宋体" w:cs="宋体"/>
          <w:color w:val="auto"/>
          <w:sz w:val="24"/>
          <w:szCs w:val="21"/>
        </w:rPr>
      </w:pPr>
    </w:p>
    <w:p w14:paraId="7B06FD1A">
      <w:pPr>
        <w:spacing w:line="360" w:lineRule="auto"/>
        <w:ind w:firstLine="5040"/>
        <w:rPr>
          <w:rFonts w:hint="eastAsia" w:ascii="宋体" w:hAnsi="宋体" w:eastAsia="宋体" w:cs="宋体"/>
          <w:color w:val="auto"/>
          <w:sz w:val="24"/>
          <w:szCs w:val="21"/>
        </w:rPr>
      </w:pPr>
      <w:r>
        <w:rPr>
          <w:rFonts w:hint="eastAsia" w:ascii="宋体" w:hAnsi="宋体" w:eastAsia="宋体" w:cs="宋体"/>
          <w:color w:val="auto"/>
          <w:sz w:val="24"/>
          <w:szCs w:val="21"/>
        </w:rPr>
        <w:t>企业名称（盖章）：</w:t>
      </w:r>
    </w:p>
    <w:p w14:paraId="115A0A23">
      <w:pPr>
        <w:spacing w:line="360" w:lineRule="auto"/>
        <w:jc w:val="center"/>
        <w:rPr>
          <w:rFonts w:hint="eastAsia" w:ascii="宋体" w:hAnsi="宋体" w:eastAsia="宋体" w:cs="宋体"/>
          <w:color w:val="auto"/>
          <w:sz w:val="24"/>
          <w:szCs w:val="21"/>
        </w:rPr>
      </w:pPr>
      <w:r>
        <w:rPr>
          <w:rFonts w:hint="eastAsia" w:ascii="宋体" w:hAnsi="宋体" w:eastAsia="宋体" w:cs="宋体"/>
          <w:color w:val="auto"/>
          <w:sz w:val="24"/>
          <w:szCs w:val="21"/>
        </w:rPr>
        <w:t>　　　　　　　　　　　　　日期：   年   月   日</w:t>
      </w:r>
    </w:p>
    <w:p w14:paraId="66B75DE4">
      <w:pPr>
        <w:spacing w:line="360" w:lineRule="auto"/>
        <w:ind w:right="480"/>
        <w:rPr>
          <w:rFonts w:hint="eastAsia" w:ascii="宋体" w:hAnsi="宋体" w:eastAsia="宋体" w:cs="宋体"/>
          <w:b/>
          <w:color w:val="auto"/>
          <w:sz w:val="24"/>
        </w:rPr>
      </w:pPr>
    </w:p>
    <w:p w14:paraId="1300A9C0">
      <w:pPr>
        <w:spacing w:line="360" w:lineRule="auto"/>
        <w:ind w:right="480"/>
        <w:rPr>
          <w:rFonts w:hint="eastAsia" w:ascii="宋体" w:hAnsi="宋体" w:eastAsia="宋体" w:cs="宋体"/>
          <w:b/>
          <w:color w:val="auto"/>
          <w:sz w:val="24"/>
        </w:rPr>
      </w:pPr>
    </w:p>
    <w:p w14:paraId="4FAF30FD">
      <w:pPr>
        <w:spacing w:line="360" w:lineRule="auto"/>
        <w:ind w:right="480"/>
        <w:rPr>
          <w:rFonts w:hint="eastAsia" w:ascii="宋体" w:hAnsi="宋体" w:eastAsia="宋体" w:cs="宋体"/>
          <w:b/>
          <w:color w:val="auto"/>
          <w:sz w:val="24"/>
        </w:rPr>
      </w:pPr>
    </w:p>
    <w:p w14:paraId="264207D2">
      <w:pPr>
        <w:spacing w:line="360" w:lineRule="auto"/>
        <w:ind w:right="480"/>
        <w:rPr>
          <w:rFonts w:hint="eastAsia" w:ascii="宋体" w:hAnsi="宋体" w:eastAsia="宋体" w:cs="宋体"/>
          <w:b/>
          <w:color w:val="auto"/>
          <w:sz w:val="24"/>
        </w:rPr>
      </w:pPr>
    </w:p>
    <w:p w14:paraId="2435B339">
      <w:pPr>
        <w:spacing w:line="360" w:lineRule="auto"/>
        <w:ind w:right="480"/>
        <w:rPr>
          <w:rFonts w:hint="eastAsia" w:ascii="宋体" w:hAnsi="宋体" w:eastAsia="宋体" w:cs="宋体"/>
          <w:b/>
          <w:color w:val="auto"/>
          <w:sz w:val="24"/>
        </w:rPr>
      </w:pPr>
    </w:p>
    <w:p w14:paraId="155683EF">
      <w:pPr>
        <w:spacing w:line="360" w:lineRule="auto"/>
        <w:ind w:right="480"/>
        <w:rPr>
          <w:rFonts w:hint="eastAsia" w:ascii="宋体" w:hAnsi="宋体" w:eastAsia="宋体" w:cs="宋体"/>
          <w:b/>
          <w:color w:val="auto"/>
          <w:sz w:val="24"/>
        </w:rPr>
      </w:pPr>
    </w:p>
    <w:p w14:paraId="3E4F1E3C">
      <w:pPr>
        <w:spacing w:line="360" w:lineRule="auto"/>
        <w:ind w:right="480"/>
        <w:rPr>
          <w:rFonts w:hint="eastAsia" w:ascii="宋体" w:hAnsi="宋体" w:eastAsia="宋体" w:cs="宋体"/>
          <w:b/>
          <w:color w:val="auto"/>
          <w:sz w:val="24"/>
        </w:rPr>
      </w:pPr>
    </w:p>
    <w:p w14:paraId="5D2270A3">
      <w:pPr>
        <w:spacing w:line="360" w:lineRule="auto"/>
        <w:ind w:right="480"/>
        <w:rPr>
          <w:rFonts w:hint="eastAsia" w:ascii="宋体" w:hAnsi="宋体" w:eastAsia="宋体" w:cs="宋体"/>
          <w:b/>
          <w:color w:val="auto"/>
          <w:sz w:val="24"/>
        </w:rPr>
      </w:pPr>
    </w:p>
    <w:p w14:paraId="7ADE0322">
      <w:pPr>
        <w:spacing w:line="360" w:lineRule="auto"/>
        <w:ind w:right="480"/>
        <w:rPr>
          <w:rFonts w:hint="eastAsia" w:ascii="宋体" w:hAnsi="宋体" w:eastAsia="宋体" w:cs="宋体"/>
          <w:b/>
          <w:color w:val="auto"/>
          <w:sz w:val="24"/>
        </w:rPr>
      </w:pPr>
    </w:p>
    <w:p w14:paraId="0BEA62E7">
      <w:pPr>
        <w:spacing w:line="360" w:lineRule="auto"/>
        <w:ind w:right="480"/>
        <w:rPr>
          <w:rFonts w:hint="eastAsia" w:ascii="宋体" w:hAnsi="宋体" w:eastAsia="宋体" w:cs="宋体"/>
          <w:b/>
          <w:color w:val="auto"/>
          <w:sz w:val="24"/>
        </w:rPr>
      </w:pPr>
    </w:p>
    <w:p w14:paraId="25562857">
      <w:pPr>
        <w:spacing w:line="360" w:lineRule="auto"/>
        <w:ind w:right="480"/>
        <w:rPr>
          <w:rFonts w:hint="eastAsia" w:ascii="宋体" w:hAnsi="宋体" w:eastAsia="宋体" w:cs="宋体"/>
          <w:b/>
          <w:color w:val="auto"/>
          <w:sz w:val="24"/>
        </w:rPr>
      </w:pPr>
    </w:p>
    <w:p w14:paraId="7167778C">
      <w:pPr>
        <w:spacing w:line="360" w:lineRule="auto"/>
        <w:ind w:right="480"/>
        <w:rPr>
          <w:rFonts w:hint="eastAsia" w:ascii="宋体" w:hAnsi="宋体" w:eastAsia="宋体" w:cs="宋体"/>
          <w:b/>
          <w:color w:val="auto"/>
          <w:sz w:val="24"/>
        </w:rPr>
      </w:pPr>
    </w:p>
    <w:p w14:paraId="7A01AF11">
      <w:pPr>
        <w:spacing w:line="360" w:lineRule="auto"/>
        <w:ind w:right="480"/>
        <w:rPr>
          <w:rFonts w:hint="eastAsia" w:ascii="宋体" w:hAnsi="宋体" w:eastAsia="宋体" w:cs="宋体"/>
          <w:b/>
          <w:color w:val="auto"/>
          <w:sz w:val="24"/>
        </w:rPr>
      </w:pPr>
    </w:p>
    <w:p w14:paraId="030F0193">
      <w:pPr>
        <w:spacing w:line="360" w:lineRule="auto"/>
        <w:ind w:firstLine="480"/>
        <w:jc w:val="left"/>
        <w:rPr>
          <w:rFonts w:hint="eastAsia" w:ascii="宋体" w:hAnsi="宋体" w:eastAsia="宋体" w:cs="宋体"/>
          <w:bCs/>
          <w:color w:val="auto"/>
          <w:sz w:val="24"/>
        </w:rPr>
      </w:pPr>
      <w:r>
        <w:rPr>
          <w:rFonts w:hint="eastAsia" w:ascii="宋体" w:hAnsi="宋体" w:eastAsia="宋体" w:cs="宋体"/>
          <w:bCs/>
          <w:color w:val="auto"/>
          <w:sz w:val="24"/>
        </w:rPr>
        <w:t>填报说明：</w:t>
      </w:r>
    </w:p>
    <w:p w14:paraId="6EE4682E">
      <w:pPr>
        <w:spacing w:line="360" w:lineRule="auto"/>
        <w:ind w:firstLine="480"/>
        <w:jc w:val="left"/>
        <w:rPr>
          <w:rFonts w:hint="eastAsia" w:ascii="宋体" w:hAnsi="宋体" w:eastAsia="宋体" w:cs="宋体"/>
          <w:bCs/>
          <w:color w:val="auto"/>
          <w:sz w:val="24"/>
        </w:rPr>
      </w:pPr>
      <w:r>
        <w:rPr>
          <w:rFonts w:hint="eastAsia" w:ascii="宋体" w:hAnsi="宋体" w:eastAsia="宋体" w:cs="宋体"/>
          <w:bCs/>
          <w:color w:val="auto"/>
          <w:sz w:val="24"/>
        </w:rPr>
        <w:t>1、请供应商如实填写，所填内容将作为评审的依据。如填写不完整，将不享受扶持政策。</w:t>
      </w:r>
    </w:p>
    <w:p w14:paraId="4B0A27E3">
      <w:pPr>
        <w:spacing w:line="360" w:lineRule="auto"/>
        <w:ind w:firstLine="480"/>
        <w:jc w:val="left"/>
        <w:rPr>
          <w:rFonts w:hint="eastAsia" w:ascii="宋体" w:hAnsi="宋体" w:eastAsia="宋体" w:cs="宋体"/>
          <w:bCs/>
          <w:color w:val="auto"/>
          <w:sz w:val="24"/>
        </w:rPr>
      </w:pPr>
      <w:r>
        <w:rPr>
          <w:rFonts w:hint="eastAsia" w:ascii="宋体" w:hAnsi="宋体" w:eastAsia="宋体" w:cs="宋体"/>
          <w:bCs/>
          <w:color w:val="auto"/>
          <w:sz w:val="24"/>
        </w:rPr>
        <w:t>2、成交供应商的《残疾人福利性单位声明函》随成交结果公开。</w:t>
      </w:r>
    </w:p>
    <w:p w14:paraId="0482AECF">
      <w:pPr>
        <w:spacing w:line="360" w:lineRule="auto"/>
        <w:jc w:val="center"/>
        <w:outlineLvl w:val="1"/>
        <w:rPr>
          <w:rFonts w:hint="eastAsia" w:ascii="宋体" w:hAnsi="宋体" w:eastAsia="宋体" w:cs="宋体"/>
          <w:b/>
          <w:color w:val="auto"/>
          <w:sz w:val="28"/>
          <w:szCs w:val="28"/>
        </w:rPr>
      </w:pPr>
      <w:r>
        <w:rPr>
          <w:rFonts w:hint="eastAsia" w:ascii="宋体" w:hAnsi="宋体" w:eastAsia="宋体" w:cs="宋体"/>
          <w:b/>
          <w:color w:val="auto"/>
          <w:sz w:val="28"/>
          <w:szCs w:val="28"/>
        </w:rPr>
        <w:br w:type="page" w:clear="all"/>
      </w:r>
      <w:bookmarkStart w:id="736" w:name="_Toc29840"/>
      <w:bookmarkStart w:id="737" w:name="_Toc10898"/>
      <w:bookmarkStart w:id="738" w:name="_Toc25513"/>
      <w:bookmarkStart w:id="739" w:name="_Toc3894"/>
      <w:r>
        <w:rPr>
          <w:rFonts w:hint="eastAsia" w:ascii="宋体" w:hAnsi="宋体" w:cs="宋体"/>
          <w:b/>
          <w:color w:val="auto"/>
          <w:sz w:val="28"/>
          <w:szCs w:val="28"/>
          <w:lang w:val="en-US" w:eastAsia="zh-CN"/>
        </w:rPr>
        <w:t>四</w:t>
      </w:r>
      <w:r>
        <w:rPr>
          <w:rFonts w:hint="eastAsia" w:ascii="宋体" w:hAnsi="宋体" w:eastAsia="宋体" w:cs="宋体"/>
          <w:b/>
          <w:color w:val="auto"/>
          <w:sz w:val="28"/>
          <w:szCs w:val="28"/>
        </w:rPr>
        <w:t>、</w:t>
      </w:r>
      <w:bookmarkEnd w:id="717"/>
      <w:bookmarkEnd w:id="718"/>
      <w:bookmarkStart w:id="740" w:name="_Toc14505"/>
      <w:bookmarkStart w:id="741" w:name="_Toc26401"/>
      <w:r>
        <w:rPr>
          <w:rFonts w:hint="eastAsia" w:ascii="宋体" w:hAnsi="宋体" w:eastAsia="宋体" w:cs="宋体"/>
          <w:b/>
          <w:color w:val="auto"/>
          <w:sz w:val="28"/>
          <w:szCs w:val="28"/>
        </w:rPr>
        <w:t>资格证明文件</w:t>
      </w:r>
      <w:bookmarkEnd w:id="719"/>
      <w:bookmarkEnd w:id="736"/>
      <w:bookmarkEnd w:id="737"/>
      <w:bookmarkEnd w:id="738"/>
      <w:bookmarkEnd w:id="739"/>
      <w:bookmarkEnd w:id="740"/>
      <w:bookmarkEnd w:id="741"/>
    </w:p>
    <w:p w14:paraId="6B2A8996">
      <w:pPr>
        <w:spacing w:before="143"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请根据磋商文件对磋商供应商的资格要求（第一章 竞争性磋商采购公告</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二、申请人的资格要求），提供资格证明文件，格式自定。</w:t>
      </w:r>
    </w:p>
    <w:p w14:paraId="46B3FE65">
      <w:pPr>
        <w:spacing w:line="360" w:lineRule="auto"/>
        <w:jc w:val="center"/>
        <w:rPr>
          <w:rFonts w:hint="eastAsia" w:ascii="宋体" w:hAnsi="宋体" w:eastAsia="宋体" w:cs="宋体"/>
          <w:b/>
          <w:color w:val="auto"/>
          <w:sz w:val="30"/>
          <w:szCs w:val="30"/>
        </w:rPr>
      </w:pPr>
      <w:r>
        <w:rPr>
          <w:rFonts w:hint="eastAsia" w:ascii="宋体" w:hAnsi="宋体" w:eastAsia="宋体" w:cs="宋体"/>
          <w:b/>
          <w:color w:val="auto"/>
          <w:sz w:val="32"/>
          <w:szCs w:val="32"/>
        </w:rPr>
        <w:br w:type="page" w:clear="all"/>
      </w:r>
      <w:r>
        <w:rPr>
          <w:rFonts w:hint="eastAsia" w:ascii="宋体" w:hAnsi="宋体" w:eastAsia="宋体" w:cs="宋体"/>
          <w:b/>
          <w:color w:val="auto"/>
          <w:sz w:val="30"/>
          <w:szCs w:val="30"/>
        </w:rPr>
        <w:t>财务状况报告及税收、社会保障资金</w:t>
      </w:r>
    </w:p>
    <w:p w14:paraId="19E02B9F">
      <w:pPr>
        <w:spacing w:line="360" w:lineRule="auto"/>
        <w:jc w:val="center"/>
        <w:rPr>
          <w:rFonts w:hint="eastAsia" w:ascii="宋体" w:hAnsi="宋体" w:eastAsia="宋体" w:cs="宋体"/>
          <w:color w:val="auto"/>
          <w:sz w:val="30"/>
          <w:szCs w:val="30"/>
        </w:rPr>
      </w:pPr>
      <w:r>
        <w:rPr>
          <w:rFonts w:hint="eastAsia" w:ascii="宋体" w:hAnsi="宋体" w:eastAsia="宋体" w:cs="宋体"/>
          <w:b/>
          <w:color w:val="auto"/>
          <w:sz w:val="30"/>
          <w:szCs w:val="30"/>
        </w:rPr>
        <w:t>缴纳情况承诺函</w:t>
      </w:r>
    </w:p>
    <w:p w14:paraId="0DAC0709">
      <w:pPr>
        <w:spacing w:line="360" w:lineRule="auto"/>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sz w:val="24"/>
          <w:u w:val="single"/>
        </w:rPr>
        <w:t>采购人名称</w:t>
      </w:r>
    </w:p>
    <w:p w14:paraId="310C369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我方</w:t>
      </w:r>
      <w:r>
        <w:rPr>
          <w:rFonts w:hint="eastAsia" w:ascii="宋体" w:hAnsi="宋体" w:eastAsia="宋体" w:cs="宋体"/>
          <w:color w:val="auto"/>
          <w:sz w:val="24"/>
          <w:u w:val="single"/>
        </w:rPr>
        <w:t>供应商名称</w:t>
      </w:r>
      <w:r>
        <w:rPr>
          <w:rFonts w:hint="eastAsia" w:ascii="宋体" w:hAnsi="宋体" w:eastAsia="宋体" w:cs="宋体"/>
          <w:color w:val="auto"/>
          <w:sz w:val="24"/>
        </w:rPr>
        <w:t>参加</w:t>
      </w:r>
      <w:r>
        <w:rPr>
          <w:rFonts w:hint="eastAsia" w:ascii="宋体" w:hAnsi="宋体" w:eastAsia="宋体" w:cs="宋体"/>
          <w:color w:val="auto"/>
          <w:sz w:val="24"/>
          <w:u w:val="single"/>
        </w:rPr>
        <w:t>项目名称</w:t>
      </w:r>
      <w:r>
        <w:rPr>
          <w:rFonts w:hint="eastAsia" w:ascii="宋体" w:hAnsi="宋体" w:eastAsia="宋体" w:cs="宋体"/>
          <w:color w:val="auto"/>
          <w:sz w:val="24"/>
        </w:rPr>
        <w:t>（项目编号：</w:t>
      </w:r>
      <w:r>
        <w:rPr>
          <w:rFonts w:hint="eastAsia" w:ascii="宋体" w:hAnsi="宋体" w:eastAsia="宋体" w:cs="宋体"/>
          <w:color w:val="auto"/>
          <w:sz w:val="24"/>
          <w:u w:val="single"/>
        </w:rPr>
        <w:t>项目编号</w:t>
      </w:r>
      <w:r>
        <w:rPr>
          <w:rFonts w:hint="eastAsia" w:ascii="宋体" w:hAnsi="宋体" w:eastAsia="宋体" w:cs="宋体"/>
          <w:color w:val="auto"/>
          <w:sz w:val="24"/>
        </w:rPr>
        <w:t>）采购，根据《</w:t>
      </w:r>
      <w:r>
        <w:rPr>
          <w:rStyle w:val="52"/>
          <w:rFonts w:hint="eastAsia" w:ascii="宋体" w:hAnsi="宋体" w:eastAsia="宋体" w:cs="宋体"/>
          <w:b w:val="0"/>
          <w:color w:val="auto"/>
          <w:sz w:val="24"/>
        </w:rPr>
        <w:t>关于简化政府采购供应商资格审查有关事项的通知</w:t>
      </w:r>
      <w:r>
        <w:rPr>
          <w:rFonts w:hint="eastAsia" w:ascii="宋体" w:hAnsi="宋体" w:eastAsia="宋体" w:cs="宋体"/>
          <w:color w:val="auto"/>
          <w:sz w:val="24"/>
        </w:rPr>
        <w:t>》（连财购〔2023〕4号），我方承诺具备《中华人民共和国政府采购法》第二十二条第（二）、第（四）项，《中华人民共和国政府采购法实施条例》第十七条第（二）项规定条件的，具体包括：</w:t>
      </w:r>
    </w:p>
    <w:p w14:paraId="7F0216A9">
      <w:pPr>
        <w:spacing w:line="360" w:lineRule="auto"/>
        <w:ind w:left="360" w:firstLine="240"/>
        <w:rPr>
          <w:rFonts w:hint="eastAsia" w:ascii="宋体" w:hAnsi="宋体" w:eastAsia="宋体" w:cs="宋体"/>
          <w:color w:val="auto"/>
          <w:sz w:val="24"/>
        </w:rPr>
      </w:pPr>
      <w:r>
        <w:rPr>
          <w:rFonts w:hint="eastAsia" w:ascii="宋体" w:hAnsi="宋体" w:eastAsia="宋体" w:cs="宋体"/>
          <w:color w:val="auto"/>
          <w:sz w:val="24"/>
        </w:rPr>
        <w:t>（1）具有良好的商业信誉和健全的财务会计制度（财务状况报告）；</w:t>
      </w:r>
    </w:p>
    <w:p w14:paraId="340C9084">
      <w:pPr>
        <w:spacing w:line="360" w:lineRule="auto"/>
        <w:ind w:left="360" w:firstLine="240"/>
        <w:rPr>
          <w:rFonts w:hint="eastAsia" w:ascii="宋体" w:hAnsi="宋体" w:eastAsia="宋体" w:cs="宋体"/>
          <w:color w:val="auto"/>
          <w:sz w:val="24"/>
        </w:rPr>
      </w:pPr>
      <w:r>
        <w:rPr>
          <w:rFonts w:hint="eastAsia" w:ascii="宋体" w:hAnsi="宋体" w:eastAsia="宋体" w:cs="宋体"/>
          <w:color w:val="auto"/>
          <w:sz w:val="24"/>
        </w:rPr>
        <w:t>（2）有依法缴纳税收和社会保障资金的良好记录。</w:t>
      </w:r>
    </w:p>
    <w:p w14:paraId="6E29E7FC">
      <w:pPr>
        <w:widowControl/>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我方对上述承诺的真实性负责，如有虚假，将依法承担提供虚假材料谋取中标、成交责任，同时同意有关主管部门将相关失信信息记入公共信用信息系统并在相关政府门户网站公开。</w:t>
      </w:r>
    </w:p>
    <w:p w14:paraId="6DED6E58">
      <w:pPr>
        <w:widowControl/>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特此承诺</w:t>
      </w:r>
    </w:p>
    <w:p w14:paraId="2AC4B1B9">
      <w:pPr>
        <w:spacing w:line="360" w:lineRule="auto"/>
        <w:ind w:left="360" w:firstLine="405"/>
        <w:rPr>
          <w:rFonts w:hint="eastAsia" w:ascii="宋体" w:hAnsi="宋体" w:eastAsia="宋体" w:cs="宋体"/>
          <w:color w:val="auto"/>
          <w:sz w:val="24"/>
        </w:rPr>
      </w:pPr>
    </w:p>
    <w:p w14:paraId="31923B4D">
      <w:pPr>
        <w:spacing w:line="360" w:lineRule="auto"/>
        <w:ind w:left="360" w:firstLine="405"/>
        <w:rPr>
          <w:rFonts w:hint="eastAsia" w:ascii="宋体" w:hAnsi="宋体" w:eastAsia="宋体" w:cs="宋体"/>
          <w:color w:val="auto"/>
          <w:sz w:val="24"/>
        </w:rPr>
      </w:pPr>
    </w:p>
    <w:p w14:paraId="76174ABA">
      <w:pPr>
        <w:spacing w:line="360" w:lineRule="auto"/>
        <w:ind w:left="360" w:firstLine="405"/>
        <w:rPr>
          <w:rFonts w:hint="eastAsia" w:ascii="宋体" w:hAnsi="宋体" w:eastAsia="宋体" w:cs="宋体"/>
          <w:color w:val="auto"/>
          <w:sz w:val="24"/>
        </w:rPr>
      </w:pPr>
      <w:r>
        <w:rPr>
          <w:rFonts w:hint="eastAsia" w:ascii="宋体" w:hAnsi="宋体" w:eastAsia="宋体" w:cs="宋体"/>
          <w:color w:val="auto"/>
          <w:sz w:val="24"/>
        </w:rPr>
        <w:t xml:space="preserve">供应商（公章）：          </w:t>
      </w:r>
    </w:p>
    <w:p w14:paraId="6D88CE1D">
      <w:pPr>
        <w:spacing w:line="360" w:lineRule="auto"/>
        <w:ind w:left="360" w:firstLine="405"/>
        <w:rPr>
          <w:rFonts w:hint="eastAsia" w:ascii="宋体" w:hAnsi="宋体" w:eastAsia="宋体" w:cs="宋体"/>
          <w:color w:val="auto"/>
          <w:sz w:val="24"/>
        </w:rPr>
      </w:pPr>
    </w:p>
    <w:p w14:paraId="3FF03D35">
      <w:pPr>
        <w:spacing w:line="360" w:lineRule="auto"/>
        <w:ind w:left="360" w:firstLine="405"/>
        <w:rPr>
          <w:rFonts w:hint="eastAsia" w:ascii="宋体" w:hAnsi="宋体" w:eastAsia="宋体" w:cs="宋体"/>
          <w:color w:val="auto"/>
          <w:sz w:val="24"/>
        </w:rPr>
      </w:pPr>
      <w:r>
        <w:rPr>
          <w:rFonts w:hint="eastAsia" w:ascii="宋体" w:hAnsi="宋体" w:eastAsia="宋体" w:cs="宋体"/>
          <w:color w:val="auto"/>
          <w:sz w:val="24"/>
        </w:rPr>
        <w:t>法定代表人或其委托代理人（签名或签章）：</w:t>
      </w:r>
    </w:p>
    <w:p w14:paraId="0DF064CA">
      <w:pPr>
        <w:spacing w:line="360" w:lineRule="auto"/>
        <w:ind w:left="360" w:firstLine="405"/>
        <w:rPr>
          <w:rFonts w:hint="eastAsia" w:ascii="宋体" w:hAnsi="宋体" w:eastAsia="宋体" w:cs="宋体"/>
          <w:color w:val="auto"/>
          <w:sz w:val="24"/>
        </w:rPr>
      </w:pPr>
    </w:p>
    <w:p w14:paraId="2FD1F2E0">
      <w:pPr>
        <w:spacing w:line="360" w:lineRule="auto"/>
        <w:ind w:left="360" w:firstLine="405"/>
        <w:rPr>
          <w:rFonts w:hint="eastAsia" w:ascii="宋体" w:hAnsi="宋体" w:eastAsia="宋体" w:cs="宋体"/>
          <w:color w:val="auto"/>
          <w:sz w:val="24"/>
        </w:rPr>
      </w:pPr>
      <w:r>
        <w:rPr>
          <w:rFonts w:hint="eastAsia" w:ascii="宋体" w:hAnsi="宋体" w:eastAsia="宋体" w:cs="宋体"/>
          <w:color w:val="auto"/>
          <w:sz w:val="24"/>
        </w:rPr>
        <w:t>日期：</w:t>
      </w:r>
      <w:r>
        <w:rPr>
          <w:rFonts w:hint="eastAsia" w:ascii="宋体" w:hAnsi="宋体" w:eastAsia="宋体" w:cs="宋体"/>
          <w:color w:val="auto"/>
          <w:sz w:val="24"/>
          <w:highlight w:val="none"/>
        </w:rPr>
        <w:t>_____年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5EB97FA4">
      <w:pPr>
        <w:spacing w:line="360" w:lineRule="auto"/>
        <w:ind w:firstLine="480"/>
        <w:jc w:val="left"/>
        <w:rPr>
          <w:rFonts w:hint="eastAsia" w:ascii="宋体" w:hAnsi="宋体" w:eastAsia="宋体" w:cs="宋体"/>
          <w:color w:val="auto"/>
          <w:sz w:val="24"/>
        </w:rPr>
      </w:pPr>
    </w:p>
    <w:p w14:paraId="60D3B87A">
      <w:pPr>
        <w:spacing w:line="360" w:lineRule="auto"/>
        <w:ind w:firstLine="643"/>
        <w:jc w:val="left"/>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具备履行合同所必需的设备和专业技术能力的声明及证明材料</w:t>
      </w:r>
    </w:p>
    <w:p w14:paraId="30A21EC9">
      <w:pPr>
        <w:spacing w:line="360" w:lineRule="auto"/>
        <w:ind w:firstLine="492"/>
        <w:rPr>
          <w:rFonts w:hint="eastAsia" w:ascii="宋体" w:hAnsi="宋体" w:eastAsia="宋体" w:cs="宋体"/>
          <w:color w:val="auto"/>
        </w:rPr>
      </w:pPr>
    </w:p>
    <w:p w14:paraId="11634C0F">
      <w:pPr>
        <w:spacing w:line="360" w:lineRule="auto"/>
        <w:ind w:firstLine="492"/>
        <w:rPr>
          <w:rFonts w:hint="eastAsia" w:ascii="宋体" w:hAnsi="宋体" w:eastAsia="宋体" w:cs="宋体"/>
          <w:color w:val="auto"/>
          <w:sz w:val="24"/>
        </w:rPr>
      </w:pPr>
      <w:r>
        <w:rPr>
          <w:rFonts w:hint="eastAsia" w:ascii="宋体" w:hAnsi="宋体" w:eastAsia="宋体" w:cs="宋体"/>
          <w:color w:val="auto"/>
          <w:sz w:val="24"/>
          <w:u w:val="single"/>
        </w:rPr>
        <w:t>（供应商名称）</w:t>
      </w:r>
      <w:r>
        <w:rPr>
          <w:rFonts w:hint="eastAsia" w:ascii="宋体" w:hAnsi="宋体" w:eastAsia="宋体" w:cs="宋体"/>
          <w:color w:val="auto"/>
          <w:sz w:val="24"/>
        </w:rPr>
        <w:t>公司郑重声明：我单位具备履行本项采购合同所必需的设备和专业技术能力，为履行本项采购合同我单位具备如下主要设备和主要专业技术能力：</w:t>
      </w:r>
    </w:p>
    <w:p w14:paraId="2A086A5B">
      <w:pPr>
        <w:spacing w:line="360" w:lineRule="auto"/>
        <w:ind w:firstLine="492"/>
        <w:rPr>
          <w:rFonts w:hint="eastAsia" w:ascii="宋体" w:hAnsi="宋体" w:eastAsia="宋体" w:cs="宋体"/>
          <w:color w:val="auto"/>
          <w:sz w:val="24"/>
        </w:rPr>
      </w:pPr>
      <w:r>
        <w:rPr>
          <w:rFonts w:hint="eastAsia" w:ascii="宋体" w:hAnsi="宋体" w:eastAsia="宋体" w:cs="宋体"/>
          <w:color w:val="auto"/>
          <w:sz w:val="24"/>
        </w:rPr>
        <w:t>主要设备有：</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3E0AE2AC">
      <w:pPr>
        <w:spacing w:line="360" w:lineRule="auto"/>
        <w:ind w:firstLine="492"/>
        <w:rPr>
          <w:rFonts w:hint="eastAsia" w:ascii="宋体" w:hAnsi="宋体" w:eastAsia="宋体" w:cs="宋体"/>
          <w:color w:val="auto"/>
          <w:sz w:val="24"/>
        </w:rPr>
      </w:pPr>
      <w:r>
        <w:rPr>
          <w:rFonts w:hint="eastAsia" w:ascii="宋体" w:hAnsi="宋体" w:eastAsia="宋体" w:cs="宋体"/>
          <w:color w:val="auto"/>
          <w:sz w:val="24"/>
        </w:rPr>
        <w:t>主要专业技术能力有：</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074DFDBE">
      <w:pPr>
        <w:pStyle w:val="66"/>
        <w:rPr>
          <w:rFonts w:hint="eastAsia"/>
          <w:color w:val="auto"/>
        </w:rPr>
      </w:pPr>
    </w:p>
    <w:p w14:paraId="31EE7F5D">
      <w:pPr>
        <w:spacing w:line="360" w:lineRule="auto"/>
        <w:ind w:firstLine="492"/>
        <w:rPr>
          <w:rFonts w:hint="eastAsia" w:ascii="宋体" w:hAnsi="宋体" w:eastAsia="宋体" w:cs="宋体"/>
          <w:b/>
          <w:color w:val="auto"/>
          <w:sz w:val="24"/>
        </w:rPr>
      </w:pPr>
      <w:r>
        <w:rPr>
          <w:rFonts w:hint="eastAsia" w:ascii="宋体" w:hAnsi="宋体" w:eastAsia="宋体" w:cs="宋体"/>
          <w:b/>
          <w:color w:val="auto"/>
          <w:sz w:val="24"/>
        </w:rPr>
        <w:t>注：须附证明材料。</w:t>
      </w:r>
    </w:p>
    <w:p w14:paraId="2ADEFC04">
      <w:pPr>
        <w:spacing w:line="360" w:lineRule="auto"/>
        <w:rPr>
          <w:rFonts w:hint="eastAsia" w:ascii="宋体" w:hAnsi="宋体" w:eastAsia="宋体" w:cs="宋体"/>
          <w:color w:val="auto"/>
          <w:sz w:val="24"/>
        </w:rPr>
      </w:pPr>
    </w:p>
    <w:p w14:paraId="14741266">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0" w:firstLine="3360"/>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供应商（公章）：</w:t>
      </w:r>
      <w:r>
        <w:rPr>
          <w:rFonts w:hint="eastAsia" w:ascii="宋体" w:hAnsi="宋体" w:eastAsia="宋体" w:cs="宋体"/>
          <w:color w:val="auto"/>
          <w:sz w:val="24"/>
          <w:szCs w:val="24"/>
          <w:u w:val="single"/>
        </w:rPr>
        <w:t xml:space="preserve">       </w:t>
      </w:r>
    </w:p>
    <w:p w14:paraId="3E226B25">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0" w:firstLine="3360"/>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法定代表人或授权委托人（签字或盖章）：</w:t>
      </w:r>
      <w:r>
        <w:rPr>
          <w:rFonts w:hint="eastAsia" w:ascii="宋体" w:hAnsi="宋体" w:eastAsia="宋体" w:cs="宋体"/>
          <w:color w:val="auto"/>
          <w:sz w:val="24"/>
          <w:szCs w:val="24"/>
          <w:u w:val="single"/>
        </w:rPr>
        <w:t>     </w:t>
      </w:r>
    </w:p>
    <w:p w14:paraId="544012DC">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color w:val="auto"/>
        </w:rPr>
      </w:pPr>
      <w:r>
        <w:rPr>
          <w:rFonts w:hint="eastAsia" w:ascii="宋体" w:hAnsi="宋体" w:eastAsia="宋体" w:cs="宋体"/>
          <w:color w:val="auto"/>
          <w:sz w:val="24"/>
          <w:szCs w:val="24"/>
        </w:rPr>
        <w:t>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日期：______年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526F7503">
      <w:pPr>
        <w:spacing w:line="360" w:lineRule="auto"/>
        <w:rPr>
          <w:rFonts w:hint="eastAsia" w:ascii="宋体" w:hAnsi="宋体" w:eastAsia="宋体" w:cs="宋体"/>
          <w:b/>
          <w:color w:val="auto"/>
          <w:sz w:val="32"/>
          <w:szCs w:val="32"/>
        </w:rPr>
      </w:pPr>
    </w:p>
    <w:p w14:paraId="51849BF6">
      <w:pPr>
        <w:spacing w:line="360" w:lineRule="auto"/>
        <w:rPr>
          <w:rFonts w:hint="eastAsia" w:ascii="宋体" w:hAnsi="宋体" w:eastAsia="宋体" w:cs="宋体"/>
          <w:b/>
          <w:color w:val="auto"/>
          <w:sz w:val="32"/>
          <w:szCs w:val="32"/>
        </w:rPr>
      </w:pPr>
    </w:p>
    <w:p w14:paraId="3AF009C6">
      <w:pPr>
        <w:pStyle w:val="19"/>
        <w:spacing w:line="360" w:lineRule="auto"/>
        <w:rPr>
          <w:rFonts w:hint="eastAsia" w:ascii="宋体" w:hAnsi="宋体" w:eastAsia="宋体" w:cs="宋体"/>
          <w:b/>
          <w:color w:val="auto"/>
          <w:szCs w:val="32"/>
        </w:rPr>
      </w:pPr>
    </w:p>
    <w:p w14:paraId="1E7832E8">
      <w:pPr>
        <w:pStyle w:val="31"/>
        <w:rPr>
          <w:rFonts w:hint="eastAsia" w:ascii="宋体" w:hAnsi="宋体" w:eastAsia="宋体" w:cs="宋体"/>
          <w:b/>
          <w:color w:val="auto"/>
          <w:szCs w:val="32"/>
        </w:rPr>
      </w:pPr>
    </w:p>
    <w:p w14:paraId="14A7BAC7">
      <w:pPr>
        <w:pStyle w:val="31"/>
        <w:rPr>
          <w:rFonts w:hint="eastAsia" w:ascii="宋体" w:hAnsi="宋体" w:eastAsia="宋体" w:cs="宋体"/>
          <w:b/>
          <w:color w:val="auto"/>
          <w:szCs w:val="32"/>
        </w:rPr>
      </w:pPr>
    </w:p>
    <w:p w14:paraId="6792D64C">
      <w:pPr>
        <w:pStyle w:val="31"/>
        <w:rPr>
          <w:rFonts w:hint="eastAsia" w:ascii="宋体" w:hAnsi="宋体" w:eastAsia="宋体" w:cs="宋体"/>
          <w:b/>
          <w:color w:val="auto"/>
          <w:szCs w:val="32"/>
        </w:rPr>
      </w:pPr>
    </w:p>
    <w:p w14:paraId="16A50CE3">
      <w:pPr>
        <w:pStyle w:val="31"/>
        <w:rPr>
          <w:rFonts w:hint="eastAsia" w:ascii="宋体" w:hAnsi="宋体" w:eastAsia="宋体" w:cs="宋体"/>
          <w:b/>
          <w:color w:val="auto"/>
          <w:szCs w:val="32"/>
        </w:rPr>
      </w:pPr>
    </w:p>
    <w:p w14:paraId="5BE7AB0C">
      <w:pPr>
        <w:pStyle w:val="31"/>
        <w:rPr>
          <w:rFonts w:hint="eastAsia" w:ascii="宋体" w:hAnsi="宋体" w:eastAsia="宋体" w:cs="宋体"/>
          <w:b/>
          <w:color w:val="auto"/>
          <w:szCs w:val="32"/>
        </w:rPr>
      </w:pPr>
    </w:p>
    <w:p w14:paraId="0FF15EAA">
      <w:pPr>
        <w:pStyle w:val="31"/>
        <w:rPr>
          <w:rFonts w:hint="eastAsia" w:ascii="宋体" w:hAnsi="宋体" w:eastAsia="宋体" w:cs="宋体"/>
          <w:b/>
          <w:color w:val="auto"/>
          <w:szCs w:val="32"/>
        </w:rPr>
      </w:pPr>
    </w:p>
    <w:p w14:paraId="23C04653">
      <w:pPr>
        <w:pStyle w:val="31"/>
        <w:rPr>
          <w:rFonts w:hint="eastAsia" w:ascii="宋体" w:hAnsi="宋体" w:eastAsia="宋体" w:cs="宋体"/>
          <w:b/>
          <w:color w:val="auto"/>
          <w:szCs w:val="32"/>
        </w:rPr>
      </w:pPr>
    </w:p>
    <w:p w14:paraId="0FD386FF">
      <w:pPr>
        <w:pStyle w:val="31"/>
        <w:rPr>
          <w:rFonts w:hint="eastAsia" w:ascii="宋体" w:hAnsi="宋体" w:eastAsia="宋体" w:cs="宋体"/>
          <w:b/>
          <w:color w:val="auto"/>
          <w:szCs w:val="32"/>
        </w:rPr>
      </w:pPr>
    </w:p>
    <w:p w14:paraId="2B6FD80D">
      <w:pPr>
        <w:pStyle w:val="31"/>
        <w:rPr>
          <w:rFonts w:hint="eastAsia" w:ascii="宋体" w:hAnsi="宋体" w:eastAsia="宋体" w:cs="宋体"/>
          <w:b/>
          <w:color w:val="auto"/>
          <w:szCs w:val="32"/>
        </w:rPr>
      </w:pPr>
    </w:p>
    <w:p w14:paraId="596C4E83">
      <w:pPr>
        <w:pStyle w:val="31"/>
        <w:rPr>
          <w:rFonts w:hint="eastAsia" w:ascii="宋体" w:hAnsi="宋体" w:eastAsia="宋体" w:cs="宋体"/>
          <w:b/>
          <w:color w:val="auto"/>
          <w:szCs w:val="32"/>
        </w:rPr>
      </w:pPr>
    </w:p>
    <w:p w14:paraId="34270E12">
      <w:pPr>
        <w:pStyle w:val="31"/>
        <w:rPr>
          <w:rFonts w:hint="eastAsia" w:ascii="宋体" w:hAnsi="宋体" w:eastAsia="宋体" w:cs="宋体"/>
          <w:b/>
          <w:color w:val="auto"/>
          <w:szCs w:val="32"/>
        </w:rPr>
      </w:pPr>
    </w:p>
    <w:p w14:paraId="128B7056">
      <w:pPr>
        <w:pStyle w:val="31"/>
        <w:rPr>
          <w:rFonts w:hint="eastAsia" w:ascii="宋体" w:hAnsi="宋体" w:eastAsia="宋体" w:cs="宋体"/>
          <w:b/>
          <w:color w:val="auto"/>
          <w:szCs w:val="32"/>
        </w:rPr>
      </w:pPr>
    </w:p>
    <w:p w14:paraId="4498A257">
      <w:pPr>
        <w:pStyle w:val="31"/>
        <w:rPr>
          <w:rFonts w:hint="eastAsia" w:ascii="宋体" w:hAnsi="宋体" w:eastAsia="宋体" w:cs="宋体"/>
          <w:b/>
          <w:color w:val="auto"/>
          <w:szCs w:val="32"/>
        </w:rPr>
      </w:pPr>
    </w:p>
    <w:p w14:paraId="64BD93A8">
      <w:pPr>
        <w:pStyle w:val="31"/>
        <w:rPr>
          <w:rFonts w:hint="eastAsia" w:ascii="宋体" w:hAnsi="宋体" w:eastAsia="宋体" w:cs="宋体"/>
          <w:b/>
          <w:color w:val="auto"/>
          <w:szCs w:val="32"/>
        </w:rPr>
      </w:pPr>
    </w:p>
    <w:p w14:paraId="6CCCFC3F">
      <w:pPr>
        <w:pStyle w:val="31"/>
        <w:rPr>
          <w:rFonts w:hint="eastAsia" w:ascii="宋体" w:hAnsi="宋体" w:eastAsia="宋体" w:cs="宋体"/>
          <w:b/>
          <w:color w:val="auto"/>
          <w:szCs w:val="32"/>
        </w:rPr>
      </w:pPr>
    </w:p>
    <w:p w14:paraId="56E28282">
      <w:pPr>
        <w:pStyle w:val="31"/>
        <w:rPr>
          <w:rFonts w:hint="eastAsia" w:ascii="宋体" w:hAnsi="宋体" w:eastAsia="宋体" w:cs="宋体"/>
          <w:b/>
          <w:color w:val="auto"/>
          <w:szCs w:val="32"/>
        </w:rPr>
      </w:pPr>
    </w:p>
    <w:p w14:paraId="5896FB9F">
      <w:pPr>
        <w:pStyle w:val="31"/>
        <w:spacing w:line="360" w:lineRule="auto"/>
        <w:rPr>
          <w:rFonts w:hint="eastAsia" w:ascii="宋体" w:hAnsi="宋体" w:eastAsia="宋体" w:cs="宋体"/>
          <w:b/>
          <w:color w:val="auto"/>
          <w:sz w:val="32"/>
          <w:szCs w:val="32"/>
        </w:rPr>
      </w:pPr>
    </w:p>
    <w:p w14:paraId="10DAFF04">
      <w:pPr>
        <w:pStyle w:val="31"/>
        <w:spacing w:line="360" w:lineRule="auto"/>
        <w:rPr>
          <w:rFonts w:hint="eastAsia" w:ascii="宋体" w:hAnsi="宋体" w:eastAsia="宋体" w:cs="宋体"/>
          <w:b/>
          <w:color w:val="auto"/>
          <w:sz w:val="32"/>
          <w:szCs w:val="32"/>
        </w:rPr>
      </w:pPr>
    </w:p>
    <w:p w14:paraId="6434B374">
      <w:pPr>
        <w:pStyle w:val="31"/>
        <w:spacing w:line="360" w:lineRule="auto"/>
        <w:rPr>
          <w:rFonts w:hint="eastAsia" w:ascii="宋体" w:hAnsi="宋体" w:eastAsia="宋体" w:cs="宋体"/>
          <w:b/>
          <w:color w:val="auto"/>
          <w:sz w:val="32"/>
          <w:szCs w:val="32"/>
        </w:rPr>
      </w:pPr>
    </w:p>
    <w:p w14:paraId="31829DD0">
      <w:pPr>
        <w:pStyle w:val="31"/>
        <w:spacing w:line="360" w:lineRule="auto"/>
        <w:rPr>
          <w:rFonts w:hint="eastAsia" w:ascii="宋体" w:hAnsi="宋体" w:eastAsia="宋体" w:cs="宋体"/>
          <w:b/>
          <w:color w:val="auto"/>
          <w:sz w:val="32"/>
          <w:szCs w:val="32"/>
        </w:rPr>
      </w:pPr>
    </w:p>
    <w:p w14:paraId="7BEE8781">
      <w:pPr>
        <w:pStyle w:val="31"/>
        <w:spacing w:line="360" w:lineRule="auto"/>
        <w:rPr>
          <w:rFonts w:hint="eastAsia" w:ascii="宋体" w:hAnsi="宋体" w:eastAsia="宋体" w:cs="宋体"/>
          <w:b/>
          <w:color w:val="auto"/>
          <w:sz w:val="32"/>
          <w:szCs w:val="32"/>
        </w:rPr>
      </w:pPr>
    </w:p>
    <w:p w14:paraId="65A258A6">
      <w:pPr>
        <w:spacing w:line="360" w:lineRule="auto"/>
        <w:jc w:val="center"/>
        <w:rPr>
          <w:rFonts w:hint="eastAsia" w:ascii="宋体" w:hAnsi="宋体" w:eastAsia="宋体" w:cs="宋体"/>
          <w:b/>
          <w:bCs/>
          <w:color w:val="auto"/>
          <w:sz w:val="32"/>
          <w:szCs w:val="32"/>
        </w:rPr>
      </w:pPr>
      <w:r>
        <w:rPr>
          <w:rFonts w:hint="eastAsia" w:ascii="宋体" w:hAnsi="宋体" w:eastAsia="宋体" w:cs="宋体"/>
          <w:b/>
          <w:color w:val="auto"/>
          <w:sz w:val="32"/>
          <w:szCs w:val="32"/>
        </w:rPr>
        <w:t>参加政府采购活动前 3 年内在经营活动中没有重大违法记录的</w:t>
      </w:r>
    </w:p>
    <w:p w14:paraId="5EED0D04">
      <w:pPr>
        <w:spacing w:line="360" w:lineRule="auto"/>
        <w:jc w:val="center"/>
        <w:rPr>
          <w:rFonts w:hint="eastAsia" w:ascii="宋体" w:hAnsi="宋体" w:eastAsia="宋体" w:cs="宋体"/>
          <w:color w:val="auto"/>
          <w:sz w:val="32"/>
          <w:szCs w:val="32"/>
        </w:rPr>
      </w:pPr>
      <w:r>
        <w:rPr>
          <w:rFonts w:hint="eastAsia" w:ascii="宋体" w:hAnsi="宋体" w:eastAsia="宋体" w:cs="宋体"/>
          <w:b/>
          <w:color w:val="auto"/>
          <w:sz w:val="32"/>
          <w:szCs w:val="32"/>
        </w:rPr>
        <w:t>书面声明</w:t>
      </w:r>
    </w:p>
    <w:p w14:paraId="11B053DF">
      <w:pP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24"/>
        </w:rPr>
        <w:t xml:space="preserve">                       </w:t>
      </w:r>
      <w:r>
        <w:rPr>
          <w:rFonts w:hint="eastAsia" w:ascii="宋体" w:hAnsi="宋体" w:eastAsia="宋体" w:cs="宋体"/>
          <w:b/>
          <w:bCs/>
          <w:color w:val="auto"/>
          <w:sz w:val="44"/>
          <w:szCs w:val="44"/>
        </w:rPr>
        <w:t xml:space="preserve">   </w:t>
      </w:r>
      <w:r>
        <w:rPr>
          <w:rFonts w:hint="eastAsia" w:ascii="宋体" w:hAnsi="宋体" w:eastAsia="宋体" w:cs="宋体"/>
          <w:b/>
          <w:bCs/>
          <w:color w:val="auto"/>
          <w:sz w:val="32"/>
          <w:szCs w:val="32"/>
        </w:rPr>
        <w:t xml:space="preserve">  </w:t>
      </w:r>
    </w:p>
    <w:p w14:paraId="0E68E854">
      <w:pPr>
        <w:spacing w:line="360" w:lineRule="auto"/>
        <w:rPr>
          <w:rFonts w:hint="eastAsia" w:ascii="宋体" w:hAnsi="宋体" w:eastAsia="宋体" w:cs="宋体"/>
          <w:bCs/>
          <w:color w:val="auto"/>
          <w:sz w:val="24"/>
        </w:rPr>
      </w:pPr>
      <w:r>
        <w:rPr>
          <w:rFonts w:hint="eastAsia" w:ascii="宋体" w:hAnsi="宋体" w:eastAsia="宋体" w:cs="宋体"/>
          <w:b/>
          <w:bCs/>
          <w:color w:val="auto"/>
          <w:sz w:val="24"/>
        </w:rPr>
        <w:t xml:space="preserve">    </w:t>
      </w:r>
      <w:r>
        <w:rPr>
          <w:rFonts w:hint="eastAsia" w:ascii="宋体" w:hAnsi="宋体" w:eastAsia="宋体" w:cs="宋体"/>
          <w:bCs/>
          <w:color w:val="auto"/>
          <w:sz w:val="24"/>
        </w:rPr>
        <w:t>我公司郑重声明：参加本次政府采购活动前 3 年内，我公司在经营活动中没有因违法经营受到刑事处罚或者责令停产停业、吊销许可证或者执照、较大数额罚款等行政处罚。</w:t>
      </w:r>
    </w:p>
    <w:p w14:paraId="00323D51">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                                      </w:t>
      </w:r>
    </w:p>
    <w:p w14:paraId="5F57D271">
      <w:pPr>
        <w:keepNext w:val="0"/>
        <w:keepLines w:val="0"/>
        <w:pageBreakBefore w:val="0"/>
        <w:widowControl w:val="0"/>
        <w:spacing w:after="181" w:line="360" w:lineRule="auto"/>
        <w:ind w:firstLine="5040"/>
        <w:rPr>
          <w:rFonts w:hint="eastAsia" w:ascii="宋体" w:hAnsi="宋体" w:eastAsia="宋体" w:cs="宋体"/>
          <w:bCs/>
          <w:color w:val="auto"/>
          <w:sz w:val="24"/>
        </w:rPr>
      </w:pPr>
      <w:r>
        <w:rPr>
          <w:rFonts w:hint="eastAsia" w:ascii="宋体" w:hAnsi="宋体" w:eastAsia="宋体" w:cs="宋体"/>
          <w:bCs/>
          <w:color w:val="auto"/>
          <w:sz w:val="24"/>
        </w:rPr>
        <w:t>供应商（公章）：</w:t>
      </w:r>
    </w:p>
    <w:p w14:paraId="54330879">
      <w:pPr>
        <w:keepNext w:val="0"/>
        <w:keepLines w:val="0"/>
        <w:pageBreakBefore w:val="0"/>
        <w:widowControl w:val="0"/>
        <w:spacing w:after="181"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                                          法定代表人或授权代表签字：______</w:t>
      </w:r>
    </w:p>
    <w:p w14:paraId="7F529B45">
      <w:pPr>
        <w:keepNext w:val="0"/>
        <w:keepLines w:val="0"/>
        <w:pageBreakBefore w:val="0"/>
        <w:widowControl w:val="0"/>
        <w:spacing w:after="181"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                                          日期：______年</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月</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日</w:t>
      </w:r>
    </w:p>
    <w:p w14:paraId="017FAFBB">
      <w:pPr>
        <w:spacing w:before="50" w:after="143" w:line="360" w:lineRule="auto"/>
        <w:jc w:val="left"/>
        <w:rPr>
          <w:rFonts w:hint="eastAsia" w:ascii="宋体" w:hAnsi="宋体" w:eastAsia="宋体" w:cs="宋体"/>
          <w:color w:val="auto"/>
          <w:sz w:val="24"/>
          <w:u w:val="single"/>
        </w:rPr>
      </w:pPr>
    </w:p>
    <w:p w14:paraId="6C460252">
      <w:pPr>
        <w:spacing w:before="50" w:after="143" w:line="360" w:lineRule="auto"/>
        <w:jc w:val="left"/>
        <w:rPr>
          <w:rFonts w:hint="eastAsia" w:ascii="宋体" w:hAnsi="宋体" w:eastAsia="宋体" w:cs="宋体"/>
          <w:b/>
          <w:bCs/>
          <w:color w:val="auto"/>
          <w:sz w:val="24"/>
          <w:u w:val="single"/>
        </w:rPr>
      </w:pPr>
    </w:p>
    <w:p w14:paraId="5A2E5425">
      <w:pPr>
        <w:spacing w:before="50" w:after="143" w:line="360" w:lineRule="auto"/>
        <w:ind w:firstLine="480"/>
        <w:jc w:val="left"/>
        <w:rPr>
          <w:rFonts w:hint="eastAsia" w:ascii="宋体" w:hAnsi="宋体" w:eastAsia="宋体" w:cs="宋体"/>
          <w:b/>
          <w:bCs/>
          <w:i/>
          <w:color w:val="auto"/>
          <w:sz w:val="24"/>
          <w:u w:val="single"/>
        </w:rPr>
      </w:pPr>
    </w:p>
    <w:p w14:paraId="0736AA42">
      <w:pPr>
        <w:spacing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Cs w:val="21"/>
        </w:rPr>
        <w:br w:type="page" w:clear="all"/>
      </w:r>
      <w:bookmarkStart w:id="742" w:name="_Toc91256337"/>
      <w:bookmarkStart w:id="743" w:name="_Toc91183849"/>
      <w:r>
        <w:rPr>
          <w:rFonts w:hint="eastAsia" w:ascii="宋体" w:hAnsi="宋体" w:eastAsia="宋体" w:cs="宋体"/>
          <w:b/>
          <w:bCs/>
          <w:color w:val="auto"/>
          <w:sz w:val="32"/>
          <w:szCs w:val="32"/>
        </w:rPr>
        <w:t>法定代表人授权委托书</w:t>
      </w:r>
    </w:p>
    <w:p w14:paraId="3EC07E66">
      <w:pPr>
        <w:pStyle w:val="45"/>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rPr>
      </w:pPr>
    </w:p>
    <w:p w14:paraId="17796EC0">
      <w:pPr>
        <w:pStyle w:val="45"/>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本授权书声明：___________（供应商名称）授权___________（被授权人的姓名）为我方就</w:t>
      </w:r>
      <w:r>
        <w:rPr>
          <w:rFonts w:hint="eastAsia" w:ascii="宋体" w:hAnsi="宋体" w:eastAsia="宋体" w:cs="宋体"/>
          <w:color w:val="auto"/>
          <w:u w:val="single"/>
        </w:rPr>
        <w:t xml:space="preserve">      </w:t>
      </w:r>
      <w:r>
        <w:rPr>
          <w:rFonts w:hint="eastAsia" w:ascii="宋体" w:hAnsi="宋体" w:eastAsia="宋体" w:cs="宋体"/>
          <w:color w:val="auto"/>
        </w:rPr>
        <w:t>（项目编号）项目采购活动的合法代理人，以本单位名义全权处理一切与该项目采购有关的事务。</w:t>
      </w:r>
    </w:p>
    <w:p w14:paraId="5A315E60">
      <w:pPr>
        <w:pStyle w:val="45"/>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本授权书于______年____月____日起生效，特此声明。</w:t>
      </w:r>
    </w:p>
    <w:p w14:paraId="50BB3A89">
      <w:pPr>
        <w:pStyle w:val="45"/>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被授权人身份证号码：</w:t>
      </w:r>
      <w:r>
        <w:rPr>
          <w:rFonts w:hint="eastAsia" w:ascii="宋体" w:hAnsi="宋体" w:eastAsia="宋体" w:cs="宋体"/>
          <w:color w:val="auto"/>
          <w:u w:val="single"/>
        </w:rPr>
        <w:t>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p>
    <w:p w14:paraId="7471002F">
      <w:pPr>
        <w:pStyle w:val="45"/>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被授权人联系电话：（手机）</w:t>
      </w:r>
      <w:r>
        <w:rPr>
          <w:rFonts w:hint="eastAsia" w:ascii="宋体" w:hAnsi="宋体" w:eastAsia="宋体" w:cs="宋体"/>
          <w:color w:val="auto"/>
          <w:u w:val="single"/>
        </w:rPr>
        <w:t xml:space="preserve">       </w:t>
      </w:r>
    </w:p>
    <w:p w14:paraId="70B08596">
      <w:pPr>
        <w:pStyle w:val="45"/>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授权单位名称：</w:t>
      </w:r>
      <w:r>
        <w:rPr>
          <w:rFonts w:hint="eastAsia" w:ascii="宋体" w:hAnsi="宋体" w:eastAsia="宋体" w:cs="宋体"/>
          <w:color w:val="auto"/>
          <w:u w:val="single"/>
        </w:rPr>
        <w:t xml:space="preserve"> </w:t>
      </w:r>
      <w:r>
        <w:rPr>
          <w:rFonts w:ascii="Times New Roman" w:hAnsi="Times New Roman" w:cs="Times New Roman"/>
          <w:color w:val="auto"/>
          <w:highlight w:val="none"/>
          <w:u w:val="single"/>
        </w:rPr>
        <w:t>（加盖CA电子公章）</w:t>
      </w:r>
    </w:p>
    <w:p w14:paraId="6D91722A">
      <w:pPr>
        <w:pStyle w:val="45"/>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单位地址：</w:t>
      </w:r>
      <w:r>
        <w:rPr>
          <w:rFonts w:hint="eastAsia" w:ascii="宋体" w:hAnsi="宋体" w:eastAsia="宋体" w:cs="宋体"/>
          <w:color w:val="auto"/>
          <w:u w:val="single"/>
        </w:rPr>
        <w:t xml:space="preserve">             </w:t>
      </w:r>
    </w:p>
    <w:p w14:paraId="33D30F7C">
      <w:pPr>
        <w:pStyle w:val="45"/>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日期：</w:t>
      </w:r>
      <w:r>
        <w:rPr>
          <w:rFonts w:hint="eastAsia" w:ascii="宋体" w:hAnsi="宋体" w:eastAsia="宋体" w:cs="宋体"/>
          <w:color w:val="auto"/>
          <w:u w:val="single"/>
        </w:rPr>
        <w:t xml:space="preserve">             </w:t>
      </w:r>
    </w:p>
    <w:p w14:paraId="4D4F7317">
      <w:pPr>
        <w:tabs>
          <w:tab w:val="left" w:pos="5580"/>
        </w:tabs>
        <w:spacing w:line="360" w:lineRule="auto"/>
        <w:jc w:val="left"/>
        <w:rPr>
          <w:rFonts w:hint="eastAsia" w:ascii="宋体" w:hAnsi="宋体" w:eastAsia="宋体" w:cs="宋体"/>
          <w:color w:val="auto"/>
          <w:sz w:val="24"/>
          <w:szCs w:val="20"/>
        </w:rPr>
      </w:pPr>
    </w:p>
    <w:p w14:paraId="3EB82705">
      <w:pPr>
        <w:tabs>
          <w:tab w:val="left" w:pos="5580"/>
        </w:tabs>
        <w:spacing w:line="360" w:lineRule="auto"/>
        <w:jc w:val="left"/>
        <w:rPr>
          <w:rFonts w:hint="eastAsia" w:ascii="宋体" w:hAnsi="宋体" w:eastAsia="宋体" w:cs="宋体"/>
          <w:color w:val="auto"/>
          <w:sz w:val="24"/>
          <w:szCs w:val="20"/>
        </w:rPr>
      </w:pPr>
      <w:r>
        <w:rPr>
          <w:rFonts w:hint="eastAsia" w:ascii="宋体" w:hAnsi="宋体" w:eastAsia="宋体" w:cs="宋体"/>
          <w:color w:val="auto"/>
          <w:sz w:val="24"/>
          <w:szCs w:val="20"/>
        </w:rPr>
        <w:t>法定代表人（单位负责人）有效期内的身份证</w:t>
      </w:r>
      <w:r>
        <w:rPr>
          <w:rFonts w:hint="eastAsia" w:ascii="宋体" w:hAnsi="宋体" w:eastAsia="宋体" w:cs="宋体"/>
          <w:b/>
          <w:color w:val="auto"/>
          <w:sz w:val="24"/>
          <w:szCs w:val="20"/>
        </w:rPr>
        <w:t>正反面</w:t>
      </w:r>
      <w:r>
        <w:rPr>
          <w:rFonts w:hint="eastAsia" w:ascii="宋体" w:hAnsi="宋体" w:eastAsia="宋体" w:cs="宋体"/>
          <w:color w:val="auto"/>
          <w:sz w:val="24"/>
          <w:szCs w:val="20"/>
        </w:rPr>
        <w:t>电子件：</w:t>
      </w:r>
    </w:p>
    <w:tbl>
      <w:tblPr>
        <w:tblStyle w:val="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25FD2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3EE0CAC8">
            <w:pPr>
              <w:tabs>
                <w:tab w:val="left" w:pos="5580"/>
              </w:tabs>
              <w:spacing w:line="360" w:lineRule="auto"/>
              <w:jc w:val="left"/>
              <w:rPr>
                <w:rFonts w:hint="eastAsia" w:ascii="宋体" w:hAnsi="宋体" w:eastAsia="宋体" w:cs="宋体"/>
                <w:color w:val="auto"/>
                <w:sz w:val="24"/>
                <w:szCs w:val="20"/>
              </w:rPr>
            </w:pPr>
          </w:p>
          <w:p w14:paraId="1B01E6EE">
            <w:pPr>
              <w:tabs>
                <w:tab w:val="left" w:pos="5580"/>
              </w:tabs>
              <w:spacing w:line="360" w:lineRule="auto"/>
              <w:jc w:val="left"/>
              <w:rPr>
                <w:rFonts w:hint="eastAsia" w:ascii="宋体" w:hAnsi="宋体" w:eastAsia="宋体" w:cs="宋体"/>
                <w:color w:val="auto"/>
                <w:sz w:val="24"/>
                <w:szCs w:val="20"/>
              </w:rPr>
            </w:pPr>
          </w:p>
        </w:tc>
        <w:tc>
          <w:tcPr>
            <w:tcW w:w="4536" w:type="dxa"/>
            <w:noWrap w:val="0"/>
          </w:tcPr>
          <w:p w14:paraId="18F6333E">
            <w:pPr>
              <w:tabs>
                <w:tab w:val="left" w:pos="5580"/>
              </w:tabs>
              <w:spacing w:line="360" w:lineRule="auto"/>
              <w:jc w:val="left"/>
              <w:rPr>
                <w:rFonts w:hint="eastAsia" w:ascii="宋体" w:hAnsi="宋体" w:eastAsia="宋体" w:cs="宋体"/>
                <w:color w:val="auto"/>
                <w:sz w:val="24"/>
                <w:szCs w:val="20"/>
              </w:rPr>
            </w:pPr>
          </w:p>
          <w:p w14:paraId="1138E751">
            <w:pPr>
              <w:tabs>
                <w:tab w:val="left" w:pos="5580"/>
              </w:tabs>
              <w:spacing w:line="360" w:lineRule="auto"/>
              <w:jc w:val="left"/>
              <w:rPr>
                <w:rFonts w:hint="eastAsia" w:ascii="宋体" w:hAnsi="宋体" w:eastAsia="宋体" w:cs="宋体"/>
                <w:color w:val="auto"/>
                <w:sz w:val="24"/>
                <w:szCs w:val="20"/>
              </w:rPr>
            </w:pPr>
          </w:p>
        </w:tc>
      </w:tr>
    </w:tbl>
    <w:p w14:paraId="5A0C3033">
      <w:pPr>
        <w:tabs>
          <w:tab w:val="left" w:pos="5580"/>
        </w:tabs>
        <w:spacing w:line="360" w:lineRule="auto"/>
        <w:jc w:val="left"/>
        <w:rPr>
          <w:rFonts w:hint="eastAsia" w:ascii="宋体" w:hAnsi="宋体" w:eastAsia="宋体" w:cs="宋体"/>
          <w:color w:val="auto"/>
          <w:sz w:val="24"/>
          <w:szCs w:val="20"/>
        </w:rPr>
      </w:pPr>
      <w:r>
        <w:rPr>
          <w:rFonts w:hint="eastAsia" w:ascii="宋体" w:hAnsi="宋体" w:eastAsia="宋体" w:cs="宋体"/>
          <w:color w:val="auto"/>
          <w:sz w:val="24"/>
          <w:szCs w:val="20"/>
        </w:rPr>
        <w:t>委托代理人有效期内的身份证</w:t>
      </w:r>
      <w:r>
        <w:rPr>
          <w:rFonts w:hint="eastAsia" w:ascii="宋体" w:hAnsi="宋体" w:eastAsia="宋体" w:cs="宋体"/>
          <w:b/>
          <w:color w:val="auto"/>
          <w:sz w:val="24"/>
          <w:szCs w:val="20"/>
        </w:rPr>
        <w:t>正反面</w:t>
      </w:r>
      <w:r>
        <w:rPr>
          <w:rFonts w:hint="eastAsia" w:ascii="宋体" w:hAnsi="宋体" w:eastAsia="宋体" w:cs="宋体"/>
          <w:color w:val="auto"/>
          <w:sz w:val="24"/>
          <w:szCs w:val="20"/>
        </w:rPr>
        <w:t>电子件：</w:t>
      </w:r>
    </w:p>
    <w:tbl>
      <w:tblPr>
        <w:tblStyle w:val="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44D6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28DBA011">
            <w:pPr>
              <w:tabs>
                <w:tab w:val="left" w:pos="5580"/>
              </w:tabs>
              <w:spacing w:line="360" w:lineRule="auto"/>
              <w:jc w:val="left"/>
              <w:rPr>
                <w:rFonts w:hint="eastAsia" w:ascii="宋体" w:hAnsi="宋体" w:eastAsia="宋体" w:cs="宋体"/>
                <w:color w:val="auto"/>
                <w:sz w:val="24"/>
                <w:szCs w:val="20"/>
              </w:rPr>
            </w:pPr>
          </w:p>
          <w:p w14:paraId="297074C7">
            <w:pPr>
              <w:tabs>
                <w:tab w:val="left" w:pos="5580"/>
              </w:tabs>
              <w:spacing w:line="360" w:lineRule="auto"/>
              <w:jc w:val="left"/>
              <w:rPr>
                <w:rFonts w:hint="eastAsia" w:ascii="宋体" w:hAnsi="宋体" w:eastAsia="宋体" w:cs="宋体"/>
                <w:color w:val="auto"/>
                <w:sz w:val="24"/>
                <w:szCs w:val="20"/>
              </w:rPr>
            </w:pPr>
          </w:p>
        </w:tc>
        <w:tc>
          <w:tcPr>
            <w:tcW w:w="4536" w:type="dxa"/>
            <w:noWrap w:val="0"/>
          </w:tcPr>
          <w:p w14:paraId="2CAE9AAC">
            <w:pPr>
              <w:tabs>
                <w:tab w:val="left" w:pos="5580"/>
              </w:tabs>
              <w:spacing w:line="360" w:lineRule="auto"/>
              <w:jc w:val="left"/>
              <w:rPr>
                <w:rFonts w:hint="eastAsia" w:ascii="宋体" w:hAnsi="宋体" w:eastAsia="宋体" w:cs="宋体"/>
                <w:color w:val="auto"/>
                <w:sz w:val="24"/>
                <w:szCs w:val="20"/>
              </w:rPr>
            </w:pPr>
          </w:p>
          <w:p w14:paraId="33686A59">
            <w:pPr>
              <w:tabs>
                <w:tab w:val="left" w:pos="5580"/>
              </w:tabs>
              <w:spacing w:line="360" w:lineRule="auto"/>
              <w:jc w:val="left"/>
              <w:rPr>
                <w:rFonts w:hint="eastAsia" w:ascii="宋体" w:hAnsi="宋体" w:eastAsia="宋体" w:cs="宋体"/>
                <w:color w:val="auto"/>
                <w:sz w:val="24"/>
                <w:szCs w:val="20"/>
              </w:rPr>
            </w:pPr>
          </w:p>
        </w:tc>
      </w:tr>
    </w:tbl>
    <w:p w14:paraId="44BA4F0C">
      <w:pPr>
        <w:tabs>
          <w:tab w:val="left" w:pos="5580"/>
        </w:tabs>
        <w:spacing w:line="360" w:lineRule="auto"/>
        <w:jc w:val="left"/>
        <w:rPr>
          <w:rFonts w:hint="eastAsia" w:ascii="宋体" w:hAnsi="宋体" w:eastAsia="宋体" w:cs="宋体"/>
          <w:color w:val="auto"/>
          <w:sz w:val="24"/>
          <w:szCs w:val="24"/>
        </w:rPr>
      </w:pPr>
    </w:p>
    <w:p w14:paraId="530E71B6">
      <w:pPr>
        <w:tabs>
          <w:tab w:val="left" w:pos="5580"/>
        </w:tabs>
        <w:spacing w:line="360" w:lineRule="auto"/>
        <w:jc w:val="left"/>
        <w:rPr>
          <w:rFonts w:hint="eastAsia" w:ascii="宋体" w:hAnsi="宋体" w:eastAsia="宋体" w:cs="宋体"/>
          <w:color w:val="auto"/>
          <w:sz w:val="24"/>
          <w:szCs w:val="24"/>
        </w:rPr>
      </w:pPr>
    </w:p>
    <w:p w14:paraId="6B017A82">
      <w:pPr>
        <w:tabs>
          <w:tab w:val="left" w:pos="5580"/>
        </w:tabs>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填报说明：</w:t>
      </w:r>
    </w:p>
    <w:p w14:paraId="70C62475">
      <w:pPr>
        <w:tabs>
          <w:tab w:val="left" w:pos="5580"/>
        </w:tabs>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1、若供应商为事业单位或其他组织或分支机构（仅当磋商文件注明允许分支机构投标的），则法定代表人（单位负责人）处的签署人可为单位负责人。</w:t>
      </w:r>
    </w:p>
    <w:p w14:paraId="11E3FB0D">
      <w:pPr>
        <w:tabs>
          <w:tab w:val="left" w:pos="5580"/>
        </w:tabs>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2、若响应文件中全部签字之处均为法定代表人（单位负责人）本人签署，则可不提供本《授权委托书》，但须提供《法定代表人（单位负责人）身份证明》。</w:t>
      </w:r>
    </w:p>
    <w:p w14:paraId="69086613">
      <w:pPr>
        <w:tabs>
          <w:tab w:val="left" w:pos="5580"/>
        </w:tabs>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3、供应商为自然人的情形，可不提供本《授权委托书》。</w:t>
      </w:r>
      <w:bookmarkEnd w:id="742"/>
      <w:bookmarkEnd w:id="743"/>
    </w:p>
    <w:p w14:paraId="01D52358">
      <w:pPr>
        <w:spacing w:line="360" w:lineRule="auto"/>
        <w:jc w:val="center"/>
        <w:rPr>
          <w:rFonts w:hint="eastAsia" w:ascii="宋体" w:hAnsi="宋体" w:eastAsia="宋体" w:cs="宋体"/>
          <w:b/>
          <w:bCs/>
          <w:color w:val="auto"/>
          <w:sz w:val="32"/>
          <w:szCs w:val="32"/>
        </w:rPr>
      </w:pPr>
    </w:p>
    <w:p w14:paraId="1F7BA7BF">
      <w:pPr>
        <w:spacing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clear="all"/>
      </w:r>
      <w:r>
        <w:rPr>
          <w:rFonts w:hint="eastAsia" w:ascii="宋体" w:hAnsi="宋体" w:eastAsia="宋体" w:cs="宋体"/>
          <w:b/>
          <w:bCs/>
          <w:color w:val="auto"/>
          <w:sz w:val="32"/>
          <w:szCs w:val="32"/>
        </w:rPr>
        <w:t>法定代表人身份证明</w:t>
      </w:r>
    </w:p>
    <w:p w14:paraId="12CDD216">
      <w:pPr>
        <w:tabs>
          <w:tab w:val="left" w:pos="5580"/>
        </w:tabs>
        <w:spacing w:line="360" w:lineRule="auto"/>
        <w:rPr>
          <w:rFonts w:hint="eastAsia" w:ascii="宋体" w:hAnsi="宋体" w:eastAsia="宋体" w:cs="宋体"/>
          <w:color w:val="auto"/>
          <w:sz w:val="24"/>
        </w:rPr>
      </w:pPr>
      <w:r>
        <w:rPr>
          <w:rFonts w:hint="eastAsia" w:ascii="宋体" w:hAnsi="宋体" w:eastAsia="宋体" w:cs="宋体"/>
          <w:color w:val="auto"/>
          <w:sz w:val="24"/>
        </w:rPr>
        <w:t>致：【采购单位】</w:t>
      </w:r>
    </w:p>
    <w:p w14:paraId="658E7549">
      <w:pPr>
        <w:tabs>
          <w:tab w:val="left" w:pos="567"/>
          <w:tab w:val="left" w:pos="2412"/>
          <w:tab w:val="left" w:pos="3883"/>
          <w:tab w:val="left" w:pos="5352"/>
          <w:tab w:val="left" w:pos="6821"/>
        </w:tabs>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兹证明，</w:t>
      </w:r>
    </w:p>
    <w:p w14:paraId="6434E897">
      <w:pPr>
        <w:tabs>
          <w:tab w:val="left" w:pos="567"/>
          <w:tab w:val="left" w:pos="1690"/>
          <w:tab w:val="left" w:pos="3400"/>
          <w:tab w:val="left" w:pos="5110"/>
          <w:tab w:val="left" w:pos="6821"/>
        </w:tabs>
        <w:spacing w:line="360" w:lineRule="auto"/>
        <w:rPr>
          <w:rFonts w:hint="eastAsia" w:ascii="宋体" w:hAnsi="宋体" w:eastAsia="宋体" w:cs="宋体"/>
          <w:color w:val="auto"/>
          <w:sz w:val="24"/>
        </w:rPr>
      </w:pPr>
      <w:r>
        <w:rPr>
          <w:rFonts w:hint="eastAsia" w:ascii="宋体" w:hAnsi="宋体" w:eastAsia="宋体" w:cs="宋体"/>
          <w:color w:val="auto"/>
          <w:sz w:val="24"/>
        </w:rPr>
        <w:t>姓名：</w:t>
      </w:r>
      <w:r>
        <w:rPr>
          <w:rFonts w:hint="eastAsia" w:ascii="宋体" w:hAnsi="宋体" w:eastAsia="宋体" w:cs="宋体"/>
          <w:color w:val="auto"/>
          <w:sz w:val="24"/>
          <w:u w:val="single"/>
        </w:rPr>
        <w:t xml:space="preserve">       </w:t>
      </w:r>
      <w:r>
        <w:rPr>
          <w:rFonts w:hint="eastAsia" w:ascii="宋体" w:hAnsi="宋体" w:eastAsia="宋体" w:cs="宋体"/>
          <w:color w:val="auto"/>
          <w:sz w:val="24"/>
        </w:rPr>
        <w:t>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职务：</w:t>
      </w:r>
      <w:r>
        <w:rPr>
          <w:rFonts w:hint="eastAsia" w:ascii="宋体" w:hAnsi="宋体" w:eastAsia="宋体" w:cs="宋体"/>
          <w:color w:val="auto"/>
          <w:sz w:val="24"/>
          <w:u w:val="single"/>
        </w:rPr>
        <w:t xml:space="preserve">       </w:t>
      </w:r>
    </w:p>
    <w:p w14:paraId="5A5A29C9">
      <w:pPr>
        <w:tabs>
          <w:tab w:val="left" w:pos="567"/>
          <w:tab w:val="left" w:pos="2412"/>
          <w:tab w:val="left" w:pos="3883"/>
          <w:tab w:val="left" w:pos="5352"/>
          <w:tab w:val="left" w:pos="6821"/>
        </w:tabs>
        <w:spacing w:line="360" w:lineRule="auto"/>
        <w:rPr>
          <w:rFonts w:hint="eastAsia" w:ascii="宋体" w:hAnsi="宋体" w:eastAsia="宋体" w:cs="宋体"/>
          <w:color w:val="auto"/>
          <w:sz w:val="24"/>
        </w:rPr>
      </w:pPr>
    </w:p>
    <w:p w14:paraId="34AB0AEF">
      <w:pPr>
        <w:tabs>
          <w:tab w:val="left" w:pos="2250"/>
          <w:tab w:val="left" w:pos="2412"/>
          <w:tab w:val="left" w:pos="3883"/>
          <w:tab w:val="left" w:pos="5352"/>
          <w:tab w:val="left" w:pos="6821"/>
        </w:tabs>
        <w:spacing w:line="360" w:lineRule="auto"/>
        <w:rPr>
          <w:rFonts w:hint="eastAsia" w:ascii="宋体" w:hAnsi="宋体" w:eastAsia="宋体" w:cs="宋体"/>
          <w:color w:val="auto"/>
          <w:sz w:val="24"/>
        </w:rPr>
      </w:pPr>
      <w:r>
        <w:rPr>
          <w:rFonts w:hint="eastAsia" w:ascii="宋体" w:hAnsi="宋体" w:eastAsia="宋体" w:cs="宋体"/>
          <w:color w:val="auto"/>
          <w:sz w:val="24"/>
        </w:rPr>
        <w:t>系</w:t>
      </w:r>
      <w:r>
        <w:rPr>
          <w:rFonts w:hint="eastAsia" w:ascii="宋体" w:hAnsi="宋体" w:eastAsia="宋体" w:cs="宋体"/>
          <w:color w:val="auto"/>
          <w:sz w:val="24"/>
          <w:u w:val="single"/>
        </w:rPr>
        <w:tab/>
      </w:r>
      <w:r>
        <w:rPr>
          <w:rFonts w:hint="eastAsia" w:ascii="宋体" w:hAnsi="宋体" w:eastAsia="宋体" w:cs="宋体"/>
          <w:color w:val="auto"/>
          <w:sz w:val="24"/>
        </w:rPr>
        <w:t>（供应商名称）的法定代表人（单位负责人）。</w:t>
      </w:r>
    </w:p>
    <w:p w14:paraId="20E74612">
      <w:pPr>
        <w:tabs>
          <w:tab w:val="left" w:pos="567"/>
          <w:tab w:val="left" w:pos="2412"/>
          <w:tab w:val="left" w:pos="3883"/>
          <w:tab w:val="left" w:pos="5352"/>
          <w:tab w:val="left" w:pos="6821"/>
        </w:tabs>
        <w:spacing w:line="360" w:lineRule="auto"/>
        <w:rPr>
          <w:rFonts w:hint="eastAsia" w:ascii="宋体" w:hAnsi="宋体" w:eastAsia="宋体" w:cs="宋体"/>
          <w:color w:val="auto"/>
          <w:sz w:val="24"/>
        </w:rPr>
      </w:pPr>
    </w:p>
    <w:p w14:paraId="21AF31F7">
      <w:pPr>
        <w:tabs>
          <w:tab w:val="left" w:pos="567"/>
          <w:tab w:val="left" w:pos="2412"/>
          <w:tab w:val="left" w:pos="3883"/>
          <w:tab w:val="left" w:pos="5352"/>
          <w:tab w:val="left" w:pos="6821"/>
        </w:tabs>
        <w:spacing w:line="360" w:lineRule="auto"/>
        <w:rPr>
          <w:rFonts w:hint="eastAsia" w:ascii="宋体" w:hAnsi="宋体" w:eastAsia="宋体" w:cs="宋体"/>
          <w:color w:val="auto"/>
          <w:sz w:val="24"/>
        </w:rPr>
      </w:pPr>
    </w:p>
    <w:p w14:paraId="24F04784">
      <w:pPr>
        <w:tabs>
          <w:tab w:val="left" w:pos="567"/>
        </w:tabs>
        <w:spacing w:line="360" w:lineRule="auto"/>
        <w:ind w:right="-46"/>
        <w:rPr>
          <w:rFonts w:hint="eastAsia" w:ascii="宋体" w:hAnsi="宋体" w:eastAsia="宋体" w:cs="宋体"/>
          <w:color w:val="auto"/>
          <w:spacing w:val="-3"/>
          <w:sz w:val="24"/>
        </w:rPr>
      </w:pPr>
      <w:r>
        <w:rPr>
          <w:rFonts w:hint="eastAsia" w:ascii="宋体" w:hAnsi="宋体" w:eastAsia="宋体" w:cs="宋体"/>
          <w:color w:val="auto"/>
          <w:sz w:val="24"/>
        </w:rPr>
        <w:t>附：</w:t>
      </w:r>
      <w:r>
        <w:rPr>
          <w:rFonts w:hint="eastAsia" w:ascii="宋体" w:hAnsi="宋体" w:eastAsia="宋体" w:cs="宋体"/>
          <w:color w:val="auto"/>
          <w:spacing w:val="-3"/>
          <w:sz w:val="24"/>
        </w:rPr>
        <w:t>法</w:t>
      </w:r>
      <w:r>
        <w:rPr>
          <w:rFonts w:hint="eastAsia" w:ascii="宋体" w:hAnsi="宋体" w:eastAsia="宋体" w:cs="宋体"/>
          <w:color w:val="auto"/>
          <w:sz w:val="24"/>
        </w:rPr>
        <w:t>定</w:t>
      </w:r>
      <w:r>
        <w:rPr>
          <w:rFonts w:hint="eastAsia" w:ascii="宋体" w:hAnsi="宋体" w:eastAsia="宋体" w:cs="宋体"/>
          <w:color w:val="auto"/>
          <w:spacing w:val="-3"/>
          <w:sz w:val="24"/>
        </w:rPr>
        <w:t>代</w:t>
      </w:r>
      <w:r>
        <w:rPr>
          <w:rFonts w:hint="eastAsia" w:ascii="宋体" w:hAnsi="宋体" w:eastAsia="宋体" w:cs="宋体"/>
          <w:color w:val="auto"/>
          <w:sz w:val="24"/>
        </w:rPr>
        <w:t>表</w:t>
      </w:r>
      <w:r>
        <w:rPr>
          <w:rFonts w:hint="eastAsia" w:ascii="宋体" w:hAnsi="宋体" w:eastAsia="宋体" w:cs="宋体"/>
          <w:color w:val="auto"/>
          <w:spacing w:val="-3"/>
          <w:sz w:val="24"/>
        </w:rPr>
        <w:t>人</w:t>
      </w:r>
      <w:r>
        <w:rPr>
          <w:rFonts w:hint="eastAsia" w:ascii="宋体" w:hAnsi="宋体" w:eastAsia="宋体" w:cs="宋体"/>
          <w:color w:val="auto"/>
          <w:sz w:val="24"/>
        </w:rPr>
        <w:t>（</w:t>
      </w:r>
      <w:r>
        <w:rPr>
          <w:rFonts w:hint="eastAsia" w:ascii="宋体" w:hAnsi="宋体" w:eastAsia="宋体" w:cs="宋体"/>
          <w:color w:val="auto"/>
          <w:spacing w:val="-3"/>
          <w:sz w:val="24"/>
        </w:rPr>
        <w:t>单</w:t>
      </w:r>
      <w:r>
        <w:rPr>
          <w:rFonts w:hint="eastAsia" w:ascii="宋体" w:hAnsi="宋体" w:eastAsia="宋体" w:cs="宋体"/>
          <w:color w:val="auto"/>
          <w:sz w:val="24"/>
        </w:rPr>
        <w:t>位</w:t>
      </w:r>
      <w:r>
        <w:rPr>
          <w:rFonts w:hint="eastAsia" w:ascii="宋体" w:hAnsi="宋体" w:eastAsia="宋体" w:cs="宋体"/>
          <w:color w:val="auto"/>
          <w:spacing w:val="-3"/>
          <w:sz w:val="24"/>
        </w:rPr>
        <w:t>负</w:t>
      </w:r>
      <w:r>
        <w:rPr>
          <w:rFonts w:hint="eastAsia" w:ascii="宋体" w:hAnsi="宋体" w:eastAsia="宋体" w:cs="宋体"/>
          <w:color w:val="auto"/>
          <w:sz w:val="24"/>
        </w:rPr>
        <w:t>责人</w:t>
      </w:r>
      <w:r>
        <w:rPr>
          <w:rFonts w:hint="eastAsia" w:ascii="宋体" w:hAnsi="宋体" w:eastAsia="宋体" w:cs="宋体"/>
          <w:color w:val="auto"/>
          <w:spacing w:val="-3"/>
          <w:sz w:val="24"/>
        </w:rPr>
        <w:t>）有效期内的身份证正反面电子件。</w:t>
      </w:r>
    </w:p>
    <w:tbl>
      <w:tblPr>
        <w:tblStyle w:val="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9B21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545075B5">
            <w:pPr>
              <w:tabs>
                <w:tab w:val="left" w:pos="5580"/>
              </w:tabs>
              <w:spacing w:line="360" w:lineRule="auto"/>
              <w:jc w:val="left"/>
              <w:rPr>
                <w:rFonts w:hint="eastAsia" w:ascii="宋体" w:hAnsi="宋体" w:eastAsia="宋体" w:cs="宋体"/>
                <w:color w:val="auto"/>
                <w:sz w:val="24"/>
                <w:szCs w:val="20"/>
              </w:rPr>
            </w:pPr>
          </w:p>
          <w:p w14:paraId="5FBE4E14">
            <w:pPr>
              <w:tabs>
                <w:tab w:val="left" w:pos="5580"/>
              </w:tabs>
              <w:spacing w:line="360" w:lineRule="auto"/>
              <w:jc w:val="left"/>
              <w:rPr>
                <w:rFonts w:hint="eastAsia" w:ascii="宋体" w:hAnsi="宋体" w:eastAsia="宋体" w:cs="宋体"/>
                <w:color w:val="auto"/>
                <w:sz w:val="24"/>
                <w:szCs w:val="20"/>
              </w:rPr>
            </w:pPr>
          </w:p>
          <w:p w14:paraId="6E1F8006">
            <w:pPr>
              <w:tabs>
                <w:tab w:val="left" w:pos="5580"/>
              </w:tabs>
              <w:spacing w:line="360" w:lineRule="auto"/>
              <w:jc w:val="left"/>
              <w:rPr>
                <w:rFonts w:hint="eastAsia" w:ascii="宋体" w:hAnsi="宋体" w:eastAsia="宋体" w:cs="宋体"/>
                <w:color w:val="auto"/>
                <w:sz w:val="24"/>
                <w:szCs w:val="20"/>
              </w:rPr>
            </w:pPr>
          </w:p>
        </w:tc>
        <w:tc>
          <w:tcPr>
            <w:tcW w:w="4536" w:type="dxa"/>
            <w:noWrap w:val="0"/>
          </w:tcPr>
          <w:p w14:paraId="5E3871A3">
            <w:pPr>
              <w:tabs>
                <w:tab w:val="left" w:pos="5580"/>
              </w:tabs>
              <w:spacing w:line="360" w:lineRule="auto"/>
              <w:jc w:val="left"/>
              <w:rPr>
                <w:rFonts w:hint="eastAsia" w:ascii="宋体" w:hAnsi="宋体" w:eastAsia="宋体" w:cs="宋体"/>
                <w:color w:val="auto"/>
                <w:sz w:val="24"/>
                <w:szCs w:val="20"/>
              </w:rPr>
            </w:pPr>
          </w:p>
          <w:p w14:paraId="220FBD23">
            <w:pPr>
              <w:tabs>
                <w:tab w:val="left" w:pos="5580"/>
              </w:tabs>
              <w:spacing w:line="360" w:lineRule="auto"/>
              <w:jc w:val="left"/>
              <w:rPr>
                <w:rFonts w:hint="eastAsia" w:ascii="宋体" w:hAnsi="宋体" w:eastAsia="宋体" w:cs="宋体"/>
                <w:color w:val="auto"/>
                <w:sz w:val="24"/>
                <w:szCs w:val="20"/>
              </w:rPr>
            </w:pPr>
          </w:p>
          <w:p w14:paraId="0A4B18A4">
            <w:pPr>
              <w:tabs>
                <w:tab w:val="left" w:pos="5580"/>
              </w:tabs>
              <w:spacing w:line="360" w:lineRule="auto"/>
              <w:jc w:val="left"/>
              <w:rPr>
                <w:rFonts w:hint="eastAsia" w:ascii="宋体" w:hAnsi="宋体" w:eastAsia="宋体" w:cs="宋体"/>
                <w:color w:val="auto"/>
                <w:sz w:val="24"/>
                <w:szCs w:val="20"/>
              </w:rPr>
            </w:pPr>
          </w:p>
        </w:tc>
      </w:tr>
    </w:tbl>
    <w:p w14:paraId="6509BF97">
      <w:pPr>
        <w:tabs>
          <w:tab w:val="left" w:pos="567"/>
        </w:tabs>
        <w:spacing w:line="360" w:lineRule="auto"/>
        <w:ind w:right="4305"/>
        <w:rPr>
          <w:rFonts w:hint="eastAsia" w:ascii="宋体" w:hAnsi="宋体" w:eastAsia="宋体" w:cs="宋体"/>
          <w:color w:val="auto"/>
          <w:spacing w:val="-3"/>
          <w:sz w:val="24"/>
        </w:rPr>
      </w:pPr>
    </w:p>
    <w:p w14:paraId="1577797C">
      <w:pPr>
        <w:pStyle w:val="45"/>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default" w:ascii="宋体" w:hAnsi="宋体" w:eastAsia="宋体" w:cs="宋体"/>
          <w:color w:val="auto"/>
          <w:lang w:val="en-US" w:eastAsia="zh-CN"/>
        </w:rPr>
      </w:pPr>
      <w:r>
        <w:rPr>
          <w:rFonts w:hint="eastAsia" w:ascii="宋体" w:hAnsi="宋体" w:eastAsia="宋体" w:cs="宋体"/>
          <w:color w:val="auto"/>
        </w:rPr>
        <w:t>单位名称：</w:t>
      </w:r>
      <w:r>
        <w:rPr>
          <w:rFonts w:hint="eastAsia" w:ascii="宋体" w:hAnsi="宋体" w:eastAsia="宋体" w:cs="宋体"/>
          <w:color w:val="auto"/>
          <w:u w:val="single"/>
        </w:rPr>
        <w:t xml:space="preserve"> </w:t>
      </w:r>
      <w:r>
        <w:rPr>
          <w:rFonts w:ascii="Times New Roman" w:hAnsi="Times New Roman" w:cs="Times New Roman"/>
          <w:color w:val="auto"/>
          <w:highlight w:val="none"/>
          <w:u w:val="single"/>
        </w:rPr>
        <w:t>（加盖CA电子公章）</w:t>
      </w:r>
    </w:p>
    <w:p w14:paraId="56B4BAD2">
      <w:pPr>
        <w:pStyle w:val="45"/>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单位地址：</w:t>
      </w:r>
      <w:r>
        <w:rPr>
          <w:rFonts w:hint="eastAsia" w:ascii="宋体" w:hAnsi="宋体" w:eastAsia="宋体" w:cs="宋体"/>
          <w:color w:val="auto"/>
          <w:u w:val="single"/>
        </w:rPr>
        <w:t>     </w:t>
      </w:r>
      <w:r>
        <w:rPr>
          <w:rFonts w:hint="eastAsia" w:cs="宋体"/>
          <w:color w:val="auto"/>
          <w:u w:val="single"/>
          <w:lang w:val="en-US" w:eastAsia="zh-CN"/>
        </w:rPr>
        <w:t xml:space="preserve">         </w:t>
      </w:r>
      <w:r>
        <w:rPr>
          <w:rFonts w:hint="eastAsia" w:ascii="宋体" w:hAnsi="宋体" w:eastAsia="宋体" w:cs="宋体"/>
          <w:color w:val="auto"/>
          <w:u w:val="single"/>
        </w:rPr>
        <w:t> </w:t>
      </w:r>
    </w:p>
    <w:p w14:paraId="4EF3C6B8">
      <w:pPr>
        <w:pStyle w:val="45"/>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u w:val="single"/>
        </w:rPr>
      </w:pPr>
      <w:r>
        <w:rPr>
          <w:rFonts w:hint="eastAsia" w:ascii="宋体" w:hAnsi="宋体" w:eastAsia="宋体" w:cs="宋体"/>
          <w:color w:val="auto"/>
        </w:rPr>
        <w:t>日期：</w:t>
      </w:r>
      <w:r>
        <w:rPr>
          <w:rFonts w:hint="eastAsia" w:ascii="宋体" w:hAnsi="宋体" w:eastAsia="宋体" w:cs="宋体"/>
          <w:color w:val="auto"/>
          <w:u w:val="single"/>
        </w:rPr>
        <w:t>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  </w:t>
      </w:r>
      <w:r>
        <w:rPr>
          <w:rFonts w:hint="eastAsia" w:cs="宋体"/>
          <w:color w:val="auto"/>
          <w:u w:val="single"/>
          <w:lang w:val="en-US" w:eastAsia="zh-CN"/>
        </w:rPr>
        <w:t xml:space="preserve">       </w:t>
      </w:r>
      <w:r>
        <w:rPr>
          <w:rFonts w:hint="eastAsia" w:ascii="宋体" w:hAnsi="宋体" w:eastAsia="宋体" w:cs="宋体"/>
          <w:color w:val="auto"/>
          <w:u w:val="single"/>
        </w:rPr>
        <w:t> </w:t>
      </w:r>
    </w:p>
    <w:p w14:paraId="70125A9A">
      <w:pPr>
        <w:pStyle w:val="45"/>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u w:val="single"/>
        </w:rPr>
      </w:pPr>
    </w:p>
    <w:p w14:paraId="304B621D">
      <w:pPr>
        <w:pStyle w:val="45"/>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说明：</w:t>
      </w:r>
    </w:p>
    <w:p w14:paraId="1505CEE6">
      <w:pPr>
        <w:pStyle w:val="24"/>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1．委托书内容填写应当明确、文字工整清楚，涂改无效。</w:t>
      </w:r>
    </w:p>
    <w:p w14:paraId="03AAF5EB">
      <w:pPr>
        <w:pStyle w:val="24"/>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2．委托书不得转借、转让、买卖。</w:t>
      </w:r>
    </w:p>
    <w:p w14:paraId="20A4E69A">
      <w:pPr>
        <w:pStyle w:val="24"/>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3．委托代理人根据授权范围，以委托单位的名义签订合同，并将此委托书提交给采购单位作为合同附件。</w:t>
      </w:r>
    </w:p>
    <w:p w14:paraId="697CA964">
      <w:pPr>
        <w:pStyle w:val="292"/>
        <w:spacing w:line="360" w:lineRule="auto"/>
        <w:rPr>
          <w:rFonts w:hint="eastAsia" w:ascii="宋体" w:hAnsi="宋体" w:eastAsia="宋体" w:cs="宋体"/>
          <w:b/>
          <w:bCs/>
          <w:color w:val="auto"/>
          <w:szCs w:val="21"/>
        </w:rPr>
      </w:pPr>
    </w:p>
    <w:p w14:paraId="0A5A2E2E">
      <w:pPr>
        <w:pStyle w:val="292"/>
        <w:spacing w:line="360" w:lineRule="auto"/>
        <w:rPr>
          <w:rFonts w:hint="eastAsia" w:ascii="宋体" w:hAnsi="宋体" w:eastAsia="宋体" w:cs="宋体"/>
          <w:b/>
          <w:bCs/>
          <w:color w:val="auto"/>
          <w:szCs w:val="21"/>
        </w:rPr>
      </w:pPr>
    </w:p>
    <w:p w14:paraId="3576CFF0">
      <w:pPr>
        <w:pStyle w:val="292"/>
        <w:spacing w:line="360" w:lineRule="auto"/>
        <w:rPr>
          <w:rFonts w:hint="eastAsia" w:ascii="宋体" w:hAnsi="宋体" w:eastAsia="宋体" w:cs="宋体"/>
          <w:b/>
          <w:bCs/>
          <w:color w:val="auto"/>
          <w:szCs w:val="21"/>
        </w:rPr>
      </w:pPr>
    </w:p>
    <w:p w14:paraId="2DBCF04C">
      <w:pPr>
        <w:spacing w:line="360" w:lineRule="auto"/>
        <w:jc w:val="center"/>
        <w:rPr>
          <w:rFonts w:hint="eastAsia" w:ascii="宋体" w:hAnsi="宋体" w:eastAsia="宋体" w:cs="宋体"/>
          <w:color w:val="auto"/>
          <w:u w:val="single"/>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磋商供应商响应承诺书</w:t>
      </w:r>
    </w:p>
    <w:p w14:paraId="58575B49">
      <w:pPr>
        <w:spacing w:line="360" w:lineRule="auto"/>
        <w:ind w:firstLine="802"/>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（采购人名称）</w:t>
      </w:r>
    </w:p>
    <w:p w14:paraId="745A0AEE">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bidi="ar"/>
        </w:rPr>
        <w:t>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项目</w:t>
      </w:r>
      <w:r>
        <w:rPr>
          <w:rFonts w:hint="eastAsia" w:ascii="宋体" w:hAnsi="宋体" w:eastAsia="宋体" w:cs="宋体"/>
          <w:color w:val="auto"/>
          <w:sz w:val="24"/>
          <w:highlight w:val="none"/>
          <w:lang w:bidi="ar"/>
        </w:rPr>
        <w:t>的投标工作，我单位郑重承诺：</w:t>
      </w:r>
    </w:p>
    <w:p w14:paraId="10188DFE">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（超过5年）无行贿犯罪记录，时间从发布本招标公告之日起开始倒推。</w:t>
      </w:r>
    </w:p>
    <w:p w14:paraId="129046DA">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非失信被执行人及无不良行为。</w:t>
      </w:r>
    </w:p>
    <w:p w14:paraId="6EB73E48">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本单位及所报项目负责人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未被建设行政主管部门限制在招标项目所在地投标</w:t>
      </w:r>
      <w:r>
        <w:rPr>
          <w:rFonts w:hint="eastAsia" w:ascii="宋体" w:hAnsi="宋体" w:eastAsia="宋体" w:cs="宋体"/>
          <w:color w:val="auto"/>
          <w:sz w:val="24"/>
          <w:highlight w:val="none"/>
          <w:lang w:eastAsia="zh-CN"/>
        </w:rPr>
        <w:t>。</w:t>
      </w:r>
    </w:p>
    <w:p w14:paraId="7B56F0BB">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4.</w:t>
      </w:r>
      <w:r>
        <w:rPr>
          <w:rFonts w:hint="eastAsia" w:ascii="宋体" w:hAnsi="宋体" w:eastAsia="宋体" w:cs="宋体"/>
          <w:color w:val="auto"/>
          <w:sz w:val="24"/>
          <w:highlight w:val="none"/>
          <w:lang w:bidi="ar"/>
        </w:rPr>
        <w:t>不出借挂靠资质</w:t>
      </w:r>
      <w:r>
        <w:rPr>
          <w:rFonts w:hint="eastAsia" w:ascii="宋体" w:hAnsi="宋体" w:eastAsia="宋体" w:cs="宋体"/>
          <w:color w:val="auto"/>
          <w:sz w:val="24"/>
          <w:highlight w:val="none"/>
          <w:lang w:eastAsia="zh-CN" w:bidi="ar"/>
        </w:rPr>
        <w:t>，</w:t>
      </w:r>
      <w:r>
        <w:rPr>
          <w:rFonts w:hint="eastAsia" w:ascii="宋体" w:hAnsi="宋体" w:eastAsia="宋体" w:cs="Times New Roman"/>
          <w:color w:val="auto"/>
          <w:sz w:val="24"/>
          <w:szCs w:val="21"/>
          <w:highlight w:val="none"/>
        </w:rPr>
        <w:t>所报项目负责人</w:t>
      </w:r>
      <w:r>
        <w:rPr>
          <w:rFonts w:ascii="Times New Roman" w:hAnsi="Times New Roman" w:eastAsia="宋体" w:cs="Times New Roman"/>
          <w:color w:val="auto"/>
          <w:sz w:val="24"/>
          <w:highlight w:val="none"/>
        </w:rPr>
        <w:t>无在建</w:t>
      </w:r>
      <w:r>
        <w:rPr>
          <w:rFonts w:hint="eastAsia" w:ascii="Times New Roman" w:hAnsi="Times New Roman" w:eastAsia="宋体" w:cs="Times New Roman"/>
          <w:color w:val="auto"/>
          <w:sz w:val="24"/>
          <w:highlight w:val="none"/>
        </w:rPr>
        <w:t>工程</w:t>
      </w:r>
      <w:r>
        <w:rPr>
          <w:rFonts w:hint="eastAsia" w:ascii="宋体" w:hAnsi="宋体" w:eastAsia="宋体" w:cs="宋体"/>
          <w:color w:val="auto"/>
          <w:sz w:val="24"/>
          <w:highlight w:val="none"/>
          <w:lang w:eastAsia="zh-CN" w:bidi="ar"/>
        </w:rPr>
        <w:t>。</w:t>
      </w:r>
    </w:p>
    <w:p w14:paraId="40C133AD">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5.</w:t>
      </w:r>
      <w:r>
        <w:rPr>
          <w:rFonts w:hint="eastAsia" w:ascii="宋体" w:hAnsi="宋体" w:eastAsia="宋体" w:cs="宋体"/>
          <w:color w:val="auto"/>
          <w:sz w:val="24"/>
          <w:highlight w:val="none"/>
          <w:lang w:bidi="ar"/>
        </w:rPr>
        <w:t>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auto"/>
          <w:sz w:val="24"/>
          <w:highlight w:val="none"/>
          <w:lang w:eastAsia="zh-CN" w:bidi="ar"/>
        </w:rPr>
        <w:t>。</w:t>
      </w:r>
    </w:p>
    <w:p w14:paraId="2218ABB8">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6.</w:t>
      </w:r>
      <w:r>
        <w:rPr>
          <w:rFonts w:hint="eastAsia" w:ascii="宋体" w:hAnsi="宋体" w:eastAsia="宋体" w:cs="宋体"/>
          <w:color w:val="auto"/>
          <w:sz w:val="24"/>
          <w:highlight w:val="none"/>
          <w:lang w:bidi="ar"/>
        </w:rPr>
        <w:t>投标全过程（含异议、投诉环节）出示的文件资料均是真实、有效的。</w:t>
      </w:r>
    </w:p>
    <w:p w14:paraId="07A7542A">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我单位没有因骗取中标或者严重违约以及发生重大工程质量、安全生产事故等违法违规问题，被有关部门暂停投标资格并在暂停期内</w:t>
      </w:r>
      <w:r>
        <w:rPr>
          <w:rFonts w:hint="eastAsia" w:ascii="宋体" w:hAnsi="宋体" w:eastAsia="宋体" w:cs="宋体"/>
          <w:color w:val="auto"/>
          <w:sz w:val="24"/>
          <w:highlight w:val="none"/>
          <w:lang w:eastAsia="zh-CN"/>
        </w:rPr>
        <w:t>。</w:t>
      </w:r>
    </w:p>
    <w:p w14:paraId="1B6D2711">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我单位本次投标不存在以下情况：法定代表人为同一个人的两个及两个以上法人，母公司、全资子公司及其控股公司，在本项目中同时投标。</w:t>
      </w:r>
    </w:p>
    <w:p w14:paraId="0DE0D10E">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9</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我单位</w:t>
      </w:r>
      <w:r>
        <w:rPr>
          <w:rFonts w:hint="eastAsia" w:ascii="宋体" w:hAnsi="宋体" w:eastAsia="宋体" w:cs="宋体"/>
          <w:color w:val="auto"/>
          <w:sz w:val="24"/>
          <w:highlight w:val="none"/>
          <w:lang w:val="en-US" w:eastAsia="zh-CN"/>
        </w:rPr>
        <w:t>承诺</w:t>
      </w:r>
      <w:r>
        <w:rPr>
          <w:rFonts w:hint="eastAsia" w:ascii="宋体" w:hAnsi="宋体" w:eastAsia="宋体" w:cs="宋体"/>
          <w:color w:val="auto"/>
          <w:sz w:val="24"/>
          <w:highlight w:val="none"/>
        </w:rPr>
        <w:t>本项目成交后不分包或转包</w:t>
      </w:r>
      <w:r>
        <w:rPr>
          <w:rFonts w:hint="eastAsia" w:ascii="宋体" w:hAnsi="宋体" w:eastAsia="宋体" w:cs="宋体"/>
          <w:color w:val="auto"/>
          <w:sz w:val="24"/>
          <w:highlight w:val="none"/>
          <w:lang w:eastAsia="zh-CN"/>
        </w:rPr>
        <w:t>。</w:t>
      </w:r>
    </w:p>
    <w:p w14:paraId="1894509F">
      <w:pPr>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r>
        <w:rPr>
          <w:rFonts w:hint="eastAsia" w:ascii="宋体" w:hAnsi="宋体" w:eastAsia="宋体" w:cs="宋体"/>
          <w:bCs/>
          <w:color w:val="auto"/>
          <w:spacing w:val="-10"/>
          <w:sz w:val="24"/>
          <w:szCs w:val="21"/>
          <w:highlight w:val="none"/>
        </w:rPr>
        <w:t>在</w:t>
      </w:r>
      <w:r>
        <w:rPr>
          <w:rFonts w:hint="eastAsia" w:ascii="宋体" w:hAnsi="宋体" w:eastAsia="宋体" w:cs="宋体"/>
          <w:bCs/>
          <w:color w:val="auto"/>
          <w:spacing w:val="-10"/>
          <w:sz w:val="24"/>
          <w:szCs w:val="21"/>
          <w:highlight w:val="none"/>
          <w:lang w:val="en-US" w:eastAsia="zh-CN"/>
        </w:rPr>
        <w:t>响应</w:t>
      </w:r>
      <w:r>
        <w:rPr>
          <w:rFonts w:hint="eastAsia" w:ascii="宋体" w:hAnsi="宋体" w:eastAsia="宋体" w:cs="宋体"/>
          <w:bCs/>
          <w:color w:val="auto"/>
          <w:spacing w:val="-10"/>
          <w:sz w:val="24"/>
          <w:szCs w:val="21"/>
          <w:highlight w:val="none"/>
        </w:rPr>
        <w:t>文件递交截止时间当日</w:t>
      </w:r>
      <w:r>
        <w:rPr>
          <w:rFonts w:hint="eastAsia" w:ascii="宋体" w:hAnsi="宋体" w:eastAsia="宋体" w:cs="宋体"/>
          <w:bCs/>
          <w:color w:val="auto"/>
          <w:spacing w:val="-10"/>
          <w:sz w:val="24"/>
          <w:szCs w:val="21"/>
          <w:highlight w:val="none"/>
          <w:lang w:eastAsia="zh-CN"/>
        </w:rPr>
        <w:t>，</w:t>
      </w:r>
      <w:r>
        <w:rPr>
          <w:rFonts w:hint="eastAsia" w:ascii="宋体" w:hAnsi="宋体" w:eastAsia="宋体" w:cs="宋体"/>
          <w:bCs/>
          <w:color w:val="auto"/>
          <w:spacing w:val="-10"/>
          <w:sz w:val="24"/>
          <w:szCs w:val="21"/>
          <w:highlight w:val="none"/>
          <w:lang w:val="en-US" w:eastAsia="zh-CN"/>
        </w:rPr>
        <w:t>我单位</w:t>
      </w:r>
      <w:r>
        <w:rPr>
          <w:rFonts w:hint="eastAsia" w:ascii="宋体" w:hAnsi="宋体" w:eastAsia="宋体" w:cs="宋体"/>
          <w:bCs/>
          <w:color w:val="auto"/>
          <w:spacing w:val="-10"/>
          <w:sz w:val="24"/>
          <w:szCs w:val="21"/>
          <w:highlight w:val="none"/>
        </w:rPr>
        <w:t>动态监管</w:t>
      </w:r>
      <w:r>
        <w:rPr>
          <w:rFonts w:hint="eastAsia" w:ascii="宋体" w:hAnsi="宋体" w:eastAsia="宋体" w:cs="宋体"/>
          <w:bCs/>
          <w:color w:val="auto"/>
          <w:spacing w:val="-10"/>
          <w:sz w:val="24"/>
          <w:szCs w:val="21"/>
          <w:highlight w:val="none"/>
          <w:lang w:val="en-US" w:eastAsia="zh-CN"/>
        </w:rPr>
        <w:t>未</w:t>
      </w:r>
      <w:r>
        <w:rPr>
          <w:rFonts w:hint="eastAsia" w:ascii="宋体" w:hAnsi="宋体" w:eastAsia="宋体" w:cs="宋体"/>
          <w:bCs/>
          <w:color w:val="auto"/>
          <w:spacing w:val="-10"/>
          <w:sz w:val="24"/>
          <w:szCs w:val="21"/>
          <w:highlight w:val="none"/>
        </w:rPr>
        <w:t>处于不合格状态</w:t>
      </w:r>
      <w:r>
        <w:rPr>
          <w:rFonts w:hint="eastAsia" w:ascii="宋体" w:hAnsi="宋体" w:eastAsia="宋体" w:cs="宋体"/>
          <w:bCs/>
          <w:color w:val="auto"/>
          <w:spacing w:val="-10"/>
          <w:sz w:val="24"/>
          <w:szCs w:val="21"/>
          <w:highlight w:val="none"/>
          <w:lang w:eastAsia="zh-CN"/>
        </w:rPr>
        <w:t>。</w:t>
      </w:r>
    </w:p>
    <w:p w14:paraId="22CC8665">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bidi="ar"/>
        </w:rPr>
        <w:t>综上，我单位承诺如有虚假，愿意无条件接受被取消投标或中标（候选人）资格、投标保证金不予退还、履约保证金不予退还、合同解除及清除出场，一切损失由我单位自行承担，同时愿意接受相关处罚，特此承诺！</w:t>
      </w:r>
    </w:p>
    <w:p w14:paraId="3BC7AD04">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（盖章）</w:t>
      </w:r>
    </w:p>
    <w:p w14:paraId="65210F94">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（签字或盖章）</w:t>
      </w:r>
    </w:p>
    <w:p w14:paraId="608CEF8E">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授权委托代表：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4C450C12">
      <w:pPr>
        <w:spacing w:line="360" w:lineRule="auto"/>
        <w:ind w:firstLine="480"/>
        <w:rPr>
          <w:rFonts w:ascii="宋体" w:hAnsi="宋体" w:eastAsia="宋体" w:cs="宋体"/>
          <w:color w:val="auto"/>
          <w:sz w:val="24"/>
          <w:highlight w:val="none"/>
          <w:u w:val="single"/>
        </w:rPr>
      </w:pPr>
      <w:r>
        <w:rPr>
          <w:rFonts w:hint="eastAsia" w:ascii="宋体" w:hAnsi="宋体" w:eastAsia="宋体" w:cs="宋体"/>
          <w:color w:val="auto"/>
          <w:sz w:val="24"/>
          <w:highlight w:val="none"/>
        </w:rPr>
        <w:t>授权委托代表身份证号：</w:t>
      </w:r>
      <w:r>
        <w:rPr>
          <w:rFonts w:hint="eastAsia" w:ascii="宋体" w:hAnsi="宋体" w:eastAsia="宋体" w:cs="宋体"/>
          <w:color w:val="auto"/>
          <w:sz w:val="24"/>
          <w:highlight w:val="none"/>
          <w:u w:val="single"/>
        </w:rPr>
        <w:t xml:space="preserve">             </w:t>
      </w:r>
    </w:p>
    <w:p w14:paraId="3D0DF105">
      <w:pPr>
        <w:keepNext w:val="0"/>
        <w:keepLines w:val="0"/>
        <w:widowControl w:val="0"/>
        <w:numPr>
          <w:ilvl w:val="0"/>
          <w:numId w:val="0"/>
        </w:numPr>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日期：</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日</w:t>
      </w:r>
    </w:p>
    <w:p w14:paraId="1730555B">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r>
    </w:p>
    <w:p w14:paraId="537EAF90">
      <w:pPr>
        <w:keepNext w:val="0"/>
        <w:keepLines w:val="0"/>
        <w:widowControl w:val="0"/>
        <w:numPr>
          <w:ilvl w:val="0"/>
          <w:numId w:val="0"/>
        </w:numPr>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outlineLvl w:val="9"/>
        <w:rPr>
          <w:rFonts w:hint="eastAsia" w:ascii="宋体" w:hAnsi="宋体" w:eastAsia="宋体" w:cs="宋体"/>
          <w:color w:val="auto"/>
          <w:sz w:val="24"/>
          <w:szCs w:val="24"/>
          <w:highlight w:val="none"/>
          <w:lang w:val="en-US" w:eastAsia="zh-CN" w:bidi="ar-SA"/>
        </w:rPr>
        <w:sectPr>
          <w:footerReference r:id="rId5" w:type="default"/>
          <w:pgSz w:w="11906" w:h="16838"/>
          <w:pgMar w:top="1247" w:right="1134" w:bottom="1021" w:left="1361" w:header="1021" w:footer="964" w:gutter="0"/>
          <w:pgNumType w:start="1"/>
          <w:cols w:space="1701" w:num="1"/>
          <w:docGrid w:linePitch="360" w:charSpace="0"/>
        </w:sectPr>
      </w:pPr>
    </w:p>
    <w:p w14:paraId="5F79FA22">
      <w:pPr>
        <w:jc w:val="center"/>
        <w:rPr>
          <w:rFonts w:hint="eastAsia" w:ascii="Times New Roman" w:hAnsi="Times New Roman" w:eastAsia="宋体" w:cs="Times New Roman"/>
          <w:b/>
          <w:kern w:val="2"/>
          <w:sz w:val="32"/>
          <w:szCs w:val="22"/>
        </w:rPr>
      </w:pPr>
      <w:r>
        <w:rPr>
          <w:rFonts w:hint="eastAsia" w:ascii="Times New Roman" w:hAnsi="Times New Roman" w:eastAsia="宋体" w:cs="Times New Roman"/>
          <w:b/>
          <w:kern w:val="2"/>
          <w:sz w:val="32"/>
          <w:szCs w:val="22"/>
        </w:rPr>
        <w:t>投标人品牌承诺书</w:t>
      </w:r>
    </w:p>
    <w:p w14:paraId="7B3626B3">
      <w:pPr>
        <w:jc w:val="center"/>
        <w:rPr>
          <w:rFonts w:hint="eastAsia" w:ascii="Times New Roman" w:hAnsi="Times New Roman" w:eastAsia="宋体" w:cs="Times New Roman"/>
          <w:b/>
          <w:kern w:val="2"/>
          <w:sz w:val="32"/>
          <w:szCs w:val="22"/>
        </w:rPr>
      </w:pPr>
    </w:p>
    <w:p w14:paraId="1C1786D8">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20" w:firstLineChars="200"/>
        <w:jc w:val="left"/>
        <w:textAlignment w:val="auto"/>
        <w:outlineLvl w:val="1"/>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1"/>
          <w:szCs w:val="21"/>
          <w:highlight w:val="none"/>
          <w:lang w:val="en-US" w:eastAsia="zh-CN" w:bidi="zh-TW"/>
        </w:rPr>
        <w:t>招标人在招标时推荐主要材料（设备）的品牌和技术要求，投标人必须按照招标人推荐的品牌和技术要求进行报价。投标人在投标时选择一个生产企业或品牌使用；</w:t>
      </w:r>
      <w:r>
        <w:rPr>
          <w:rFonts w:hint="eastAsia" w:ascii="宋体" w:hAnsi="宋体" w:eastAsia="宋体" w:cs="宋体"/>
          <w:b/>
          <w:bCs/>
          <w:color w:val="auto"/>
          <w:kern w:val="0"/>
          <w:sz w:val="21"/>
          <w:szCs w:val="21"/>
          <w:highlight w:val="none"/>
          <w:lang w:val="en-US" w:eastAsia="zh-CN" w:bidi="zh-TW"/>
        </w:rPr>
        <w:t>投标人可选用</w:t>
      </w:r>
      <w:r>
        <w:rPr>
          <w:rFonts w:hint="eastAsia" w:ascii="宋体" w:hAnsi="宋体" w:cs="宋体"/>
          <w:b/>
          <w:bCs/>
          <w:color w:val="auto"/>
          <w:kern w:val="0"/>
          <w:sz w:val="21"/>
          <w:szCs w:val="21"/>
          <w:highlight w:val="none"/>
          <w:lang w:val="en-US" w:eastAsia="zh-CN" w:bidi="zh-TW"/>
        </w:rPr>
        <w:t>下</w:t>
      </w:r>
      <w:r>
        <w:rPr>
          <w:rFonts w:hint="eastAsia" w:ascii="宋体" w:hAnsi="宋体" w:eastAsia="宋体" w:cs="宋体"/>
          <w:b/>
          <w:bCs/>
          <w:color w:val="auto"/>
          <w:kern w:val="0"/>
          <w:sz w:val="21"/>
          <w:szCs w:val="21"/>
          <w:highlight w:val="none"/>
          <w:lang w:val="en-US" w:eastAsia="zh-CN" w:bidi="zh-TW"/>
        </w:rPr>
        <w:t>述任一参考品牌，也可选用其他品牌产品；选用非参考品牌的，须在投标文件中附产品检测报告、技术说明书，证明产品全部满足本招标文件</w:t>
      </w:r>
      <w:r>
        <w:rPr>
          <w:rFonts w:hint="eastAsia" w:ascii="宋体" w:hAnsi="宋体" w:cs="宋体"/>
          <w:b/>
          <w:bCs/>
          <w:color w:val="auto"/>
          <w:kern w:val="0"/>
          <w:sz w:val="21"/>
          <w:szCs w:val="21"/>
          <w:highlight w:val="none"/>
          <w:lang w:val="en-US" w:eastAsia="zh-CN" w:bidi="zh-TW"/>
        </w:rPr>
        <w:t>（清单）</w:t>
      </w:r>
      <w:r>
        <w:rPr>
          <w:rFonts w:hint="eastAsia" w:ascii="宋体" w:hAnsi="宋体" w:eastAsia="宋体" w:cs="宋体"/>
          <w:b/>
          <w:bCs/>
          <w:color w:val="auto"/>
          <w:kern w:val="0"/>
          <w:sz w:val="21"/>
          <w:szCs w:val="21"/>
          <w:highlight w:val="none"/>
          <w:lang w:val="en-US" w:eastAsia="zh-CN" w:bidi="zh-TW"/>
        </w:rPr>
        <w:t>技术参数要求，评标委员会按参数统一评审，不以品牌作为取舍依据</w:t>
      </w:r>
      <w:r>
        <w:rPr>
          <w:rFonts w:hint="eastAsia" w:ascii="宋体" w:hAnsi="宋体" w:eastAsia="宋体" w:cs="宋体"/>
          <w:color w:val="auto"/>
          <w:kern w:val="0"/>
          <w:sz w:val="21"/>
          <w:szCs w:val="21"/>
          <w:highlight w:val="none"/>
          <w:lang w:val="en-US" w:eastAsia="zh-CN" w:bidi="zh-TW"/>
        </w:rPr>
        <w:t>；否则按重大偏差“明显不符合技术规范、技术标准的要求的”处理。招标人在招标文件中确定的设备材料推荐品牌承包人应无条件执行，材料品牌风险投标人自行承担。</w:t>
      </w:r>
    </w:p>
    <w:tbl>
      <w:tblPr>
        <w:tblStyle w:val="49"/>
        <w:tblW w:w="5082" w:type="pct"/>
        <w:tblInd w:w="-1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1747"/>
        <w:gridCol w:w="4553"/>
        <w:gridCol w:w="2739"/>
      </w:tblGrid>
      <w:tr w14:paraId="4BCF1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noWrap w:val="0"/>
            <w:vAlign w:val="center"/>
          </w:tcPr>
          <w:p w14:paraId="3180E803">
            <w:pPr>
              <w:keepNext w:val="0"/>
              <w:keepLines w:val="0"/>
              <w:suppressLineNumbers w:val="0"/>
              <w:spacing w:before="0" w:beforeAutospacing="0" w:after="0" w:afterAutospacing="0" w:line="400" w:lineRule="exact"/>
              <w:ind w:left="0" w:right="0"/>
              <w:jc w:val="center"/>
              <w:rPr>
                <w:rFonts w:hint="default" w:ascii="宋体" w:hAnsi="宋体" w:eastAsia="宋体" w:cs="宋体"/>
                <w:b/>
                <w:bCs/>
                <w:kern w:val="2"/>
                <w:szCs w:val="21"/>
                <w:highlight w:val="none"/>
              </w:rPr>
            </w:pPr>
            <w:r>
              <w:rPr>
                <w:rFonts w:hint="eastAsia" w:ascii="宋体" w:hAnsi="宋体" w:eastAsia="宋体" w:cs="宋体"/>
                <w:b/>
                <w:bCs/>
                <w:kern w:val="2"/>
                <w:szCs w:val="21"/>
                <w:highlight w:val="none"/>
              </w:rPr>
              <w:t>序号</w:t>
            </w:r>
          </w:p>
        </w:tc>
        <w:tc>
          <w:tcPr>
            <w:tcW w:w="892" w:type="pct"/>
            <w:noWrap w:val="0"/>
            <w:vAlign w:val="center"/>
          </w:tcPr>
          <w:p w14:paraId="2953CE2D">
            <w:pPr>
              <w:jc w:val="center"/>
              <w:rPr>
                <w:rFonts w:hint="default" w:ascii="宋体" w:hAnsi="宋体" w:eastAsia="宋体" w:cs="宋体"/>
                <w:b/>
                <w:bCs/>
                <w:kern w:val="2"/>
                <w:szCs w:val="21"/>
                <w:highlight w:val="none"/>
              </w:rPr>
            </w:pPr>
            <w:r>
              <w:rPr>
                <w:rFonts w:hint="eastAsia" w:ascii="宋体" w:hAnsi="宋体" w:eastAsia="宋体" w:cs="宋体"/>
                <w:b/>
                <w:bCs/>
                <w:kern w:val="2"/>
                <w:szCs w:val="21"/>
                <w:highlight w:val="none"/>
              </w:rPr>
              <w:t>名称</w:t>
            </w:r>
          </w:p>
        </w:tc>
        <w:tc>
          <w:tcPr>
            <w:tcW w:w="2326" w:type="pct"/>
            <w:noWrap w:val="0"/>
            <w:vAlign w:val="center"/>
          </w:tcPr>
          <w:p w14:paraId="47AF1888">
            <w:pPr>
              <w:jc w:val="center"/>
              <w:rPr>
                <w:rFonts w:hint="default" w:ascii="宋体" w:hAnsi="宋体" w:eastAsia="宋体" w:cs="宋体"/>
                <w:b/>
                <w:bCs/>
                <w:kern w:val="2"/>
                <w:szCs w:val="21"/>
                <w:highlight w:val="none"/>
              </w:rPr>
            </w:pPr>
            <w:r>
              <w:rPr>
                <w:rFonts w:hint="eastAsia" w:ascii="宋体" w:hAnsi="宋体" w:eastAsia="宋体" w:cs="宋体"/>
                <w:b/>
                <w:bCs/>
                <w:kern w:val="2"/>
                <w:szCs w:val="21"/>
                <w:highlight w:val="none"/>
              </w:rPr>
              <w:t>推荐品牌/生产厂家</w:t>
            </w:r>
          </w:p>
        </w:tc>
        <w:tc>
          <w:tcPr>
            <w:tcW w:w="1399" w:type="pct"/>
            <w:noWrap w:val="0"/>
            <w:vAlign w:val="center"/>
          </w:tcPr>
          <w:p w14:paraId="1E7E94C5">
            <w:pPr>
              <w:keepNext w:val="0"/>
              <w:keepLines w:val="0"/>
              <w:suppressLineNumbers w:val="0"/>
              <w:spacing w:before="0" w:beforeAutospacing="0" w:after="0" w:afterAutospacing="0" w:line="400" w:lineRule="exact"/>
              <w:ind w:left="0" w:right="0"/>
              <w:jc w:val="center"/>
              <w:rPr>
                <w:rFonts w:hint="default" w:ascii="宋体" w:hAnsi="宋体" w:eastAsia="宋体" w:cs="宋体"/>
                <w:b/>
                <w:bCs/>
                <w:kern w:val="2"/>
                <w:szCs w:val="21"/>
                <w:highlight w:val="none"/>
              </w:rPr>
            </w:pPr>
            <w:r>
              <w:rPr>
                <w:rFonts w:hint="default" w:ascii="宋体" w:hAnsi="宋体" w:eastAsia="宋体" w:cs="宋体"/>
                <w:b/>
                <w:bCs/>
                <w:kern w:val="2"/>
                <w:szCs w:val="21"/>
                <w:highlight w:val="none"/>
                <w:lang w:val="en-US" w:eastAsia="zh-CN"/>
              </w:rPr>
              <w:t>投标人投标的品牌或厂家（只可选择一个）</w:t>
            </w:r>
          </w:p>
        </w:tc>
      </w:tr>
      <w:tr w14:paraId="5D9A7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381" w:type="pct"/>
            <w:noWrap w:val="0"/>
            <w:vAlign w:val="center"/>
          </w:tcPr>
          <w:p w14:paraId="1CB669CA">
            <w:pPr>
              <w:keepNext w:val="0"/>
              <w:keepLines w:val="0"/>
              <w:widowControl w:val="0"/>
              <w:suppressLineNumbers w:val="0"/>
              <w:autoSpaceDE w:val="0"/>
              <w:autoSpaceDN/>
              <w:spacing w:before="0" w:beforeAutospacing="0" w:after="0" w:afterAutospacing="0" w:line="400" w:lineRule="exact"/>
              <w:ind w:left="425" w:leftChars="0" w:right="0" w:rightChars="0" w:hanging="425" w:firstLineChars="0"/>
              <w:jc w:val="center"/>
              <w:rPr>
                <w:rFonts w:hint="eastAsia" w:ascii="宋体" w:hAnsi="宋体" w:eastAsia="宋体" w:cs="宋体"/>
                <w:kern w:val="2"/>
                <w:szCs w:val="21"/>
                <w:highlight w:val="none"/>
              </w:rPr>
            </w:pPr>
            <w:r>
              <w:rPr>
                <w:rFonts w:hint="eastAsia" w:ascii="宋体" w:hAnsi="宋体" w:eastAsia="宋体" w:cs="宋体"/>
                <w:b w:val="0"/>
                <w:bCs w:val="0"/>
                <w:kern w:val="2"/>
                <w:sz w:val="21"/>
                <w:szCs w:val="21"/>
                <w:highlight w:val="none"/>
                <w:lang w:val="en-US" w:eastAsia="zh-CN" w:bidi="ar"/>
              </w:rPr>
              <w:t>1.</w:t>
            </w:r>
          </w:p>
        </w:tc>
        <w:tc>
          <w:tcPr>
            <w:tcW w:w="892" w:type="pct"/>
            <w:noWrap w:val="0"/>
            <w:vAlign w:val="center"/>
          </w:tcPr>
          <w:p w14:paraId="3F2A0CF6">
            <w:pPr>
              <w:spacing w:line="360" w:lineRule="auto"/>
              <w:jc w:val="center"/>
              <w:textAlignment w:val="baseline"/>
              <w:rPr>
                <w:rFonts w:hint="default" w:ascii="宋体" w:hAnsi="宋体" w:eastAsia="宋体" w:cs="宋体"/>
                <w:b w:val="0"/>
                <w:bCs w:val="0"/>
                <w:kern w:val="2"/>
                <w:szCs w:val="21"/>
                <w:highlight w:val="none"/>
                <w:lang w:val="en-US" w:eastAsia="zh-CN"/>
              </w:rPr>
            </w:pPr>
            <w:r>
              <w:rPr>
                <w:rFonts w:hint="default" w:ascii="宋体" w:hAnsi="宋体" w:eastAsia="宋体" w:cs="宋体"/>
                <w:b w:val="0"/>
                <w:bCs w:val="0"/>
                <w:kern w:val="2"/>
                <w:szCs w:val="21"/>
                <w:highlight w:val="none"/>
                <w:lang w:val="en-US" w:eastAsia="zh-CN"/>
              </w:rPr>
              <w:t>真石漆</w:t>
            </w:r>
          </w:p>
        </w:tc>
        <w:tc>
          <w:tcPr>
            <w:tcW w:w="2326" w:type="pct"/>
            <w:noWrap w:val="0"/>
            <w:vAlign w:val="center"/>
          </w:tcPr>
          <w:p w14:paraId="3E706F2C">
            <w:pPr>
              <w:spacing w:line="360" w:lineRule="auto"/>
              <w:jc w:val="center"/>
              <w:textAlignment w:val="baseline"/>
              <w:rPr>
                <w:rFonts w:hint="default" w:ascii="宋体" w:hAnsi="宋体" w:eastAsia="宋体" w:cs="宋体"/>
                <w:b w:val="0"/>
                <w:bCs w:val="0"/>
                <w:kern w:val="2"/>
                <w:szCs w:val="21"/>
                <w:highlight w:val="none"/>
                <w:lang w:val="en-US" w:eastAsia="zh-CN"/>
              </w:rPr>
            </w:pPr>
            <w:r>
              <w:rPr>
                <w:rFonts w:hint="default" w:ascii="宋体" w:hAnsi="宋体" w:eastAsia="宋体" w:cs="宋体"/>
                <w:b w:val="0"/>
                <w:bCs w:val="0"/>
                <w:kern w:val="2"/>
                <w:szCs w:val="21"/>
                <w:highlight w:val="none"/>
                <w:lang w:val="en-US" w:eastAsia="zh-CN"/>
              </w:rPr>
              <w:t>三棵树、立邦、嘉宝莉</w:t>
            </w:r>
          </w:p>
        </w:tc>
        <w:tc>
          <w:tcPr>
            <w:tcW w:w="1399" w:type="pct"/>
            <w:noWrap w:val="0"/>
            <w:vAlign w:val="center"/>
          </w:tcPr>
          <w:p w14:paraId="369FFF10">
            <w:pPr>
              <w:keepNext w:val="0"/>
              <w:keepLines w:val="0"/>
              <w:suppressLineNumbers w:val="0"/>
              <w:spacing w:before="0" w:beforeAutospacing="0" w:after="0" w:afterAutospacing="0" w:line="400" w:lineRule="exact"/>
              <w:ind w:left="0" w:right="0"/>
              <w:jc w:val="center"/>
              <w:rPr>
                <w:rFonts w:hint="eastAsia" w:ascii="宋体" w:hAnsi="宋体" w:eastAsia="宋体" w:cs="宋体"/>
                <w:kern w:val="2"/>
                <w:szCs w:val="21"/>
                <w:highlight w:val="none"/>
              </w:rPr>
            </w:pPr>
          </w:p>
        </w:tc>
      </w:tr>
    </w:tbl>
    <w:p w14:paraId="5FF4BDEC">
      <w:pPr>
        <w:spacing w:line="460" w:lineRule="exact"/>
        <w:ind w:firstLine="420" w:firstLineChars="200"/>
        <w:rPr>
          <w:rFonts w:hint="eastAsia" w:ascii="宋体" w:hAnsi="宋体" w:eastAsia="宋体" w:cs="宋体"/>
          <w:color w:val="auto"/>
          <w:kern w:val="2"/>
          <w:szCs w:val="21"/>
          <w:highlight w:val="none"/>
        </w:rPr>
      </w:pPr>
      <w:r>
        <w:rPr>
          <w:rFonts w:hint="eastAsia" w:ascii="宋体" w:hAnsi="宋体" w:eastAsia="宋体" w:cs="宋体"/>
          <w:kern w:val="2"/>
          <w:szCs w:val="21"/>
          <w:highlight w:val="none"/>
        </w:rPr>
        <w:t>我司承诺本次投标主要上述材料、设备的质量及技术要求，均满足招标文件要求，我方保证上述承诺的真实和准确，并愿意承担因我方就此弄虚作假所引起的一切法律后果及对招标人造成的损失</w:t>
      </w:r>
      <w:r>
        <w:rPr>
          <w:rFonts w:hint="eastAsia" w:ascii="宋体" w:hAnsi="宋体" w:eastAsia="宋体" w:cs="宋体"/>
          <w:kern w:val="2"/>
          <w:szCs w:val="21"/>
          <w:highlight w:val="none"/>
          <w:lang w:eastAsia="zh-CN"/>
        </w:rPr>
        <w:t>，</w:t>
      </w:r>
      <w:r>
        <w:rPr>
          <w:rFonts w:hint="eastAsia" w:ascii="宋体" w:hAnsi="宋体" w:eastAsia="宋体" w:cs="宋体"/>
          <w:color w:val="auto"/>
          <w:kern w:val="2"/>
          <w:szCs w:val="21"/>
          <w:highlight w:val="none"/>
        </w:rPr>
        <w:t>如有违反，愿意无条件接受被取消投标或中标（候选人）资格、投标保证金不予退还、履约保证金不予退还、合同解除及清除出场，一切损失由我单位自行承担，同时愿意接受相关处罚。</w:t>
      </w:r>
    </w:p>
    <w:p w14:paraId="3428B0DA">
      <w:pPr>
        <w:spacing w:line="460" w:lineRule="exact"/>
        <w:ind w:firstLine="420" w:firstLineChars="200"/>
        <w:rPr>
          <w:rFonts w:hint="eastAsia" w:ascii="宋体" w:hAnsi="宋体" w:eastAsia="宋体" w:cs="宋体"/>
          <w:kern w:val="2"/>
          <w:szCs w:val="21"/>
          <w:highlight w:val="none"/>
        </w:rPr>
      </w:pPr>
      <w:r>
        <w:rPr>
          <w:rFonts w:hint="eastAsia" w:ascii="宋体" w:hAnsi="宋体" w:eastAsia="宋体" w:cs="宋体"/>
          <w:color w:val="auto"/>
          <w:kern w:val="2"/>
          <w:szCs w:val="21"/>
          <w:highlight w:val="none"/>
        </w:rPr>
        <w:t>特此承诺！</w:t>
      </w:r>
    </w:p>
    <w:p w14:paraId="3CF7A51A">
      <w:pPr>
        <w:spacing w:line="560" w:lineRule="exact"/>
        <w:rPr>
          <w:rFonts w:hint="eastAsia" w:ascii="宋体" w:hAnsi="宋体" w:eastAsia="宋体" w:cs="宋体"/>
          <w:color w:val="auto"/>
          <w:kern w:val="2"/>
          <w:szCs w:val="21"/>
          <w:highlight w:val="none"/>
        </w:rPr>
      </w:pPr>
    </w:p>
    <w:p w14:paraId="36D307BC">
      <w:pPr>
        <w:spacing w:line="560" w:lineRule="exac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投标人：</w:t>
      </w:r>
      <w:r>
        <w:rPr>
          <w:rFonts w:hint="eastAsia" w:ascii="宋体" w:hAnsi="宋体" w:eastAsia="宋体" w:cs="宋体"/>
          <w:color w:val="auto"/>
          <w:kern w:val="2"/>
          <w:szCs w:val="21"/>
          <w:highlight w:val="none"/>
          <w:u w:val="single"/>
        </w:rPr>
        <w:t xml:space="preserve">                               </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投标人</w:t>
      </w:r>
      <w:r>
        <w:rPr>
          <w:rFonts w:hint="eastAsia" w:ascii="宋体" w:hAnsi="宋体" w:eastAsia="宋体" w:cs="宋体"/>
          <w:color w:val="auto"/>
          <w:kern w:val="2"/>
          <w:szCs w:val="21"/>
          <w:highlight w:val="none"/>
        </w:rPr>
        <w:t>盖章）</w:t>
      </w:r>
    </w:p>
    <w:p w14:paraId="2E6C40CF">
      <w:pPr>
        <w:spacing w:line="560" w:lineRule="exac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法定代表人：</w:t>
      </w:r>
      <w:r>
        <w:rPr>
          <w:rFonts w:hint="eastAsia" w:ascii="宋体" w:hAnsi="宋体" w:eastAsia="宋体" w:cs="宋体"/>
          <w:color w:val="auto"/>
          <w:kern w:val="2"/>
          <w:szCs w:val="21"/>
          <w:highlight w:val="none"/>
          <w:u w:val="single"/>
        </w:rPr>
        <w:t xml:space="preserve">                     </w:t>
      </w:r>
      <w:r>
        <w:rPr>
          <w:rFonts w:hint="eastAsia" w:ascii="宋体" w:hAnsi="宋体" w:eastAsia="宋体" w:cs="宋体"/>
          <w:color w:val="auto"/>
          <w:kern w:val="2"/>
          <w:szCs w:val="21"/>
          <w:highlight w:val="none"/>
        </w:rPr>
        <w:t>（签字或盖章）</w:t>
      </w:r>
    </w:p>
    <w:p w14:paraId="23BDA045">
      <w:pPr>
        <w:spacing w:line="560" w:lineRule="exac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日期：   年   月   日</w:t>
      </w:r>
    </w:p>
    <w:p w14:paraId="398375D8">
      <w:pPr>
        <w:keepNext w:val="0"/>
        <w:keepLines w:val="0"/>
        <w:widowControl w:val="0"/>
        <w:numPr>
          <w:ilvl w:val="0"/>
          <w:numId w:val="0"/>
        </w:numPr>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outlineLvl w:val="9"/>
        <w:rPr>
          <w:rFonts w:hint="eastAsia" w:ascii="宋体" w:hAnsi="宋体" w:cs="宋体"/>
          <w:b/>
          <w:bCs/>
          <w:color w:val="auto"/>
          <w:sz w:val="24"/>
          <w:highlight w:val="none"/>
          <w:lang w:val="en-US" w:eastAsia="zh-CN"/>
        </w:rPr>
      </w:pPr>
    </w:p>
    <w:p w14:paraId="747634FB">
      <w:pPr>
        <w:keepNext w:val="0"/>
        <w:keepLines w:val="0"/>
        <w:widowControl w:val="0"/>
        <w:numPr>
          <w:ilvl w:val="0"/>
          <w:numId w:val="0"/>
        </w:numPr>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outlineLvl w:val="9"/>
        <w:rPr>
          <w:rFonts w:hint="default" w:ascii="宋体" w:hAnsi="宋体" w:cs="宋体"/>
          <w:b/>
          <w:bCs/>
          <w:color w:val="auto"/>
          <w:sz w:val="24"/>
          <w:highlight w:val="none"/>
          <w:lang w:val="en-US" w:eastAsia="zh-CN"/>
        </w:rPr>
        <w:sectPr>
          <w:pgSz w:w="11906" w:h="16838"/>
          <w:pgMar w:top="1247" w:right="1134" w:bottom="1021" w:left="1361" w:header="1021" w:footer="964" w:gutter="0"/>
          <w:cols w:space="1701" w:num="1"/>
          <w:docGrid w:linePitch="360" w:charSpace="0"/>
        </w:sectPr>
      </w:pPr>
    </w:p>
    <w:p w14:paraId="3101FA67">
      <w:pPr>
        <w:spacing w:line="360" w:lineRule="auto"/>
        <w:jc w:val="center"/>
        <w:outlineLvl w:val="1"/>
        <w:rPr>
          <w:rFonts w:hint="eastAsia" w:ascii="宋体" w:hAnsi="宋体" w:eastAsia="宋体" w:cs="宋体"/>
          <w:b/>
          <w:bCs/>
          <w:color w:val="auto"/>
          <w:sz w:val="32"/>
          <w:szCs w:val="32"/>
        </w:rPr>
      </w:pPr>
      <w:bookmarkStart w:id="744" w:name="_Toc14847"/>
      <w:bookmarkStart w:id="745" w:name="_Toc21851"/>
      <w:bookmarkStart w:id="746" w:name="_Toc18765"/>
      <w:bookmarkStart w:id="747" w:name="_Toc21287"/>
      <w:bookmarkStart w:id="748" w:name="_Toc4326"/>
      <w:bookmarkStart w:id="749" w:name="_Toc30442"/>
      <w:bookmarkStart w:id="750" w:name="_Toc2279"/>
      <w:r>
        <w:rPr>
          <w:rFonts w:hint="eastAsia" w:ascii="宋体" w:hAnsi="宋体" w:eastAsia="宋体" w:cs="宋体"/>
          <w:b/>
          <w:bCs/>
          <w:color w:val="auto"/>
          <w:sz w:val="32"/>
          <w:szCs w:val="32"/>
        </w:rPr>
        <w:t>已标价的工程量清单</w:t>
      </w:r>
      <w:bookmarkEnd w:id="744"/>
      <w:bookmarkEnd w:id="745"/>
      <w:bookmarkEnd w:id="746"/>
      <w:bookmarkEnd w:id="747"/>
      <w:bookmarkEnd w:id="748"/>
    </w:p>
    <w:p w14:paraId="0E66F663">
      <w:pPr>
        <w:spacing w:line="360" w:lineRule="auto"/>
        <w:jc w:val="center"/>
        <w:rPr>
          <w:rFonts w:hint="eastAsia" w:ascii="宋体" w:hAnsi="宋体" w:eastAsia="宋体" w:cs="宋体"/>
          <w:b/>
          <w:bCs/>
          <w:color w:val="auto"/>
          <w:sz w:val="32"/>
          <w:szCs w:val="32"/>
        </w:rPr>
      </w:pPr>
    </w:p>
    <w:p w14:paraId="5952A632">
      <w:pPr>
        <w:spacing w:line="360" w:lineRule="auto"/>
        <w:ind w:firstLine="720"/>
        <w:jc w:val="left"/>
        <w:rPr>
          <w:rFonts w:hint="eastAsia" w:ascii="宋体" w:hAnsi="宋体" w:eastAsia="宋体" w:cs="宋体"/>
          <w:color w:val="auto"/>
        </w:rPr>
      </w:pPr>
    </w:p>
    <w:p w14:paraId="12441C0E">
      <w:pPr>
        <w:spacing w:line="360" w:lineRule="auto"/>
        <w:ind w:firstLine="720"/>
        <w:jc w:val="left"/>
        <w:rPr>
          <w:rFonts w:hint="eastAsia" w:ascii="宋体" w:hAnsi="宋体" w:eastAsia="宋体" w:cs="宋体"/>
          <w:color w:val="auto"/>
        </w:rPr>
      </w:pPr>
    </w:p>
    <w:p w14:paraId="7E386775">
      <w:pPr>
        <w:spacing w:line="360" w:lineRule="auto"/>
        <w:ind w:firstLine="720"/>
        <w:jc w:val="left"/>
        <w:rPr>
          <w:rFonts w:hint="eastAsia" w:ascii="宋体" w:hAnsi="宋体" w:eastAsia="宋体" w:cs="宋体"/>
          <w:color w:val="auto"/>
        </w:rPr>
      </w:pPr>
    </w:p>
    <w:p w14:paraId="3CF5CE91">
      <w:pPr>
        <w:spacing w:line="360" w:lineRule="auto"/>
        <w:ind w:firstLine="720"/>
        <w:jc w:val="left"/>
        <w:rPr>
          <w:rFonts w:hint="eastAsia" w:ascii="宋体" w:hAnsi="宋体" w:eastAsia="宋体" w:cs="宋体"/>
          <w:color w:val="auto"/>
        </w:rPr>
      </w:pPr>
    </w:p>
    <w:p w14:paraId="3554B062">
      <w:pPr>
        <w:spacing w:line="360" w:lineRule="auto"/>
        <w:ind w:firstLine="720"/>
        <w:jc w:val="left"/>
        <w:rPr>
          <w:rFonts w:hint="eastAsia" w:ascii="宋体" w:hAnsi="宋体" w:eastAsia="宋体" w:cs="宋体"/>
          <w:color w:val="auto"/>
        </w:rPr>
      </w:pPr>
    </w:p>
    <w:p w14:paraId="77EA112D">
      <w:pPr>
        <w:spacing w:line="360" w:lineRule="auto"/>
        <w:ind w:firstLine="720"/>
        <w:jc w:val="left"/>
        <w:rPr>
          <w:rFonts w:hint="eastAsia" w:ascii="宋体" w:hAnsi="宋体" w:eastAsia="宋体" w:cs="宋体"/>
          <w:color w:val="auto"/>
        </w:rPr>
      </w:pPr>
    </w:p>
    <w:p w14:paraId="62098194">
      <w:pPr>
        <w:spacing w:line="360" w:lineRule="auto"/>
        <w:ind w:firstLine="720"/>
        <w:jc w:val="left"/>
        <w:rPr>
          <w:rFonts w:hint="eastAsia" w:ascii="宋体" w:hAnsi="宋体" w:eastAsia="宋体" w:cs="宋体"/>
          <w:color w:val="auto"/>
        </w:rPr>
      </w:pPr>
    </w:p>
    <w:p w14:paraId="4BEFC09B">
      <w:pPr>
        <w:spacing w:line="360" w:lineRule="auto"/>
        <w:ind w:firstLine="720"/>
        <w:jc w:val="left"/>
        <w:rPr>
          <w:rFonts w:hint="eastAsia" w:ascii="宋体" w:hAnsi="宋体" w:eastAsia="宋体" w:cs="宋体"/>
          <w:color w:val="auto"/>
        </w:rPr>
      </w:pPr>
    </w:p>
    <w:p w14:paraId="65B57834">
      <w:pPr>
        <w:spacing w:line="360" w:lineRule="auto"/>
        <w:ind w:firstLine="720"/>
        <w:jc w:val="left"/>
        <w:rPr>
          <w:rFonts w:hint="eastAsia" w:ascii="宋体" w:hAnsi="宋体" w:eastAsia="宋体" w:cs="宋体"/>
          <w:color w:val="auto"/>
        </w:rPr>
      </w:pPr>
    </w:p>
    <w:p w14:paraId="7501CD34">
      <w:pPr>
        <w:spacing w:line="360" w:lineRule="auto"/>
        <w:ind w:firstLine="720"/>
        <w:jc w:val="left"/>
        <w:rPr>
          <w:rFonts w:hint="eastAsia" w:ascii="宋体" w:hAnsi="宋体" w:eastAsia="宋体" w:cs="宋体"/>
          <w:color w:val="auto"/>
        </w:rPr>
      </w:pPr>
    </w:p>
    <w:p w14:paraId="27CFD6DC">
      <w:pPr>
        <w:spacing w:line="360" w:lineRule="auto"/>
        <w:ind w:firstLine="720"/>
        <w:jc w:val="left"/>
        <w:rPr>
          <w:rFonts w:hint="eastAsia" w:ascii="宋体" w:hAnsi="宋体" w:eastAsia="宋体" w:cs="宋体"/>
          <w:color w:val="auto"/>
        </w:rPr>
      </w:pPr>
    </w:p>
    <w:p w14:paraId="299882C5">
      <w:pPr>
        <w:spacing w:line="360" w:lineRule="auto"/>
        <w:ind w:firstLine="720"/>
        <w:jc w:val="left"/>
        <w:rPr>
          <w:rFonts w:hint="eastAsia" w:ascii="宋体" w:hAnsi="宋体" w:eastAsia="宋体" w:cs="宋体"/>
          <w:color w:val="auto"/>
        </w:rPr>
      </w:pPr>
    </w:p>
    <w:p w14:paraId="30BE3CDF">
      <w:pPr>
        <w:spacing w:line="360" w:lineRule="auto"/>
        <w:ind w:firstLine="720"/>
        <w:jc w:val="left"/>
        <w:rPr>
          <w:rFonts w:hint="eastAsia" w:ascii="宋体" w:hAnsi="宋体" w:eastAsia="宋体" w:cs="宋体"/>
          <w:color w:val="auto"/>
        </w:rPr>
      </w:pPr>
    </w:p>
    <w:p w14:paraId="3E708BE2">
      <w:pPr>
        <w:spacing w:line="360" w:lineRule="auto"/>
        <w:ind w:firstLine="720"/>
        <w:jc w:val="left"/>
        <w:rPr>
          <w:rFonts w:hint="eastAsia" w:ascii="宋体" w:hAnsi="宋体" w:eastAsia="宋体" w:cs="宋体"/>
          <w:color w:val="auto"/>
        </w:rPr>
      </w:pPr>
    </w:p>
    <w:p w14:paraId="240F63DC">
      <w:pPr>
        <w:spacing w:line="360" w:lineRule="auto"/>
        <w:ind w:firstLine="720"/>
        <w:jc w:val="left"/>
        <w:rPr>
          <w:rFonts w:hint="eastAsia" w:ascii="宋体" w:hAnsi="宋体" w:eastAsia="宋体" w:cs="宋体"/>
          <w:color w:val="auto"/>
        </w:rPr>
      </w:pPr>
    </w:p>
    <w:p w14:paraId="505B6DDC">
      <w:pPr>
        <w:spacing w:line="360" w:lineRule="auto"/>
        <w:ind w:firstLine="720"/>
        <w:jc w:val="left"/>
        <w:rPr>
          <w:rFonts w:hint="eastAsia" w:ascii="宋体" w:hAnsi="宋体" w:eastAsia="宋体" w:cs="宋体"/>
          <w:color w:val="auto"/>
        </w:rPr>
      </w:pPr>
    </w:p>
    <w:p w14:paraId="6D296FEF">
      <w:pPr>
        <w:spacing w:line="360" w:lineRule="auto"/>
        <w:ind w:firstLine="720"/>
        <w:jc w:val="left"/>
        <w:rPr>
          <w:rFonts w:hint="eastAsia" w:ascii="宋体" w:hAnsi="宋体" w:eastAsia="宋体" w:cs="宋体"/>
          <w:color w:val="auto"/>
        </w:rPr>
      </w:pPr>
    </w:p>
    <w:p w14:paraId="6C5086A3">
      <w:pPr>
        <w:spacing w:line="360" w:lineRule="auto"/>
        <w:ind w:firstLine="720"/>
        <w:jc w:val="left"/>
        <w:rPr>
          <w:rFonts w:hint="eastAsia" w:ascii="宋体" w:hAnsi="宋体" w:eastAsia="宋体" w:cs="宋体"/>
          <w:color w:val="auto"/>
        </w:rPr>
      </w:pPr>
    </w:p>
    <w:p w14:paraId="6A0AAE22">
      <w:pPr>
        <w:spacing w:line="360" w:lineRule="auto"/>
        <w:ind w:firstLine="720"/>
        <w:jc w:val="left"/>
        <w:rPr>
          <w:rFonts w:hint="eastAsia" w:ascii="宋体" w:hAnsi="宋体" w:eastAsia="宋体" w:cs="宋体"/>
          <w:b/>
          <w:color w:val="auto"/>
        </w:rPr>
      </w:pPr>
    </w:p>
    <w:p w14:paraId="0C9B5265">
      <w:pPr>
        <w:spacing w:line="360" w:lineRule="auto"/>
        <w:ind w:firstLine="720"/>
        <w:jc w:val="left"/>
        <w:rPr>
          <w:rFonts w:hint="eastAsia" w:ascii="宋体" w:hAnsi="宋体" w:eastAsia="宋体" w:cs="宋体"/>
          <w:b/>
          <w:color w:val="auto"/>
        </w:rPr>
      </w:pPr>
      <w:r>
        <w:rPr>
          <w:rFonts w:hint="eastAsia" w:ascii="宋体" w:hAnsi="宋体" w:eastAsia="宋体" w:cs="宋体"/>
          <w:b/>
          <w:color w:val="auto"/>
        </w:rPr>
        <w:t>注：各分项最终结算价按照磋商首次报价与最后报价作同比例变动。</w:t>
      </w:r>
    </w:p>
    <w:p w14:paraId="6CA66310">
      <w:pPr>
        <w:spacing w:line="360" w:lineRule="auto"/>
        <w:ind w:firstLine="720"/>
        <w:jc w:val="left"/>
        <w:rPr>
          <w:rFonts w:hint="eastAsia" w:ascii="宋体" w:hAnsi="宋体" w:eastAsia="宋体" w:cs="宋体"/>
          <w:color w:val="auto"/>
        </w:rPr>
      </w:pPr>
    </w:p>
    <w:p w14:paraId="1C65E511">
      <w:pPr>
        <w:spacing w:line="360" w:lineRule="auto"/>
        <w:ind w:firstLine="720"/>
        <w:jc w:val="left"/>
        <w:rPr>
          <w:rFonts w:hint="eastAsia" w:ascii="宋体" w:hAnsi="宋体" w:eastAsia="宋体" w:cs="宋体"/>
          <w:color w:val="auto"/>
        </w:rPr>
      </w:pPr>
    </w:p>
    <w:p w14:paraId="24A113B4">
      <w:pPr>
        <w:spacing w:line="360" w:lineRule="auto"/>
        <w:ind w:firstLine="720"/>
        <w:jc w:val="left"/>
        <w:rPr>
          <w:rFonts w:hint="eastAsia" w:ascii="宋体" w:hAnsi="宋体" w:eastAsia="宋体" w:cs="宋体"/>
          <w:color w:val="auto"/>
        </w:rPr>
      </w:pPr>
    </w:p>
    <w:p w14:paraId="0180C156">
      <w:pPr>
        <w:spacing w:line="360" w:lineRule="auto"/>
        <w:ind w:firstLine="720"/>
        <w:jc w:val="left"/>
        <w:rPr>
          <w:rFonts w:hint="eastAsia" w:ascii="宋体" w:hAnsi="宋体" w:eastAsia="宋体" w:cs="宋体"/>
          <w:color w:val="auto"/>
        </w:rPr>
      </w:pPr>
    </w:p>
    <w:p w14:paraId="331173D6">
      <w:pPr>
        <w:spacing w:line="360" w:lineRule="auto"/>
        <w:ind w:firstLine="720"/>
        <w:jc w:val="left"/>
        <w:rPr>
          <w:rFonts w:hint="eastAsia" w:ascii="宋体" w:hAnsi="宋体" w:eastAsia="宋体" w:cs="宋体"/>
          <w:color w:val="auto"/>
        </w:rPr>
      </w:pPr>
    </w:p>
    <w:p w14:paraId="4A733D66">
      <w:pPr>
        <w:spacing w:line="360" w:lineRule="auto"/>
        <w:ind w:firstLine="720"/>
        <w:jc w:val="center"/>
        <w:outlineLvl w:val="1"/>
        <w:rPr>
          <w:rFonts w:hint="eastAsia" w:ascii="宋体" w:hAnsi="宋体" w:eastAsia="宋体" w:cs="宋体"/>
          <w:b/>
          <w:color w:val="auto"/>
          <w:sz w:val="28"/>
          <w:szCs w:val="28"/>
        </w:rPr>
      </w:pPr>
      <w:r>
        <w:rPr>
          <w:rFonts w:hint="eastAsia" w:ascii="宋体" w:hAnsi="宋体" w:eastAsia="宋体" w:cs="宋体"/>
          <w:color w:val="auto"/>
        </w:rPr>
        <w:br w:type="page" w:clear="all"/>
      </w:r>
      <w:bookmarkEnd w:id="749"/>
      <w:bookmarkEnd w:id="750"/>
      <w:bookmarkStart w:id="751" w:name="_Toc3637"/>
      <w:bookmarkStart w:id="752" w:name="_Toc536"/>
      <w:bookmarkStart w:id="753" w:name="_Toc23680"/>
      <w:r>
        <w:rPr>
          <w:rFonts w:hint="eastAsia" w:ascii="宋体" w:hAnsi="宋体" w:eastAsia="宋体" w:cs="宋体"/>
          <w:b/>
          <w:bCs/>
          <w:color w:val="auto"/>
          <w:sz w:val="32"/>
          <w:szCs w:val="32"/>
        </w:rPr>
        <w:t>施工组织设计</w:t>
      </w:r>
      <w:bookmarkEnd w:id="751"/>
      <w:bookmarkEnd w:id="752"/>
      <w:bookmarkEnd w:id="753"/>
    </w:p>
    <w:p w14:paraId="587EC494">
      <w:pPr>
        <w:pStyle w:val="26"/>
        <w:spacing w:line="360" w:lineRule="auto"/>
        <w:jc w:val="center"/>
        <w:rPr>
          <w:rFonts w:hint="eastAsia" w:ascii="宋体" w:hAnsi="宋体" w:eastAsia="宋体" w:cs="宋体"/>
          <w:color w:val="auto"/>
          <w:szCs w:val="24"/>
        </w:rPr>
      </w:pPr>
    </w:p>
    <w:p w14:paraId="2AD5060E">
      <w:pPr>
        <w:pStyle w:val="26"/>
        <w:spacing w:line="360" w:lineRule="auto"/>
        <w:jc w:val="center"/>
        <w:rPr>
          <w:rFonts w:hint="eastAsia" w:ascii="宋体" w:hAnsi="宋体" w:eastAsia="宋体" w:cs="宋体"/>
          <w:color w:val="auto"/>
          <w:szCs w:val="24"/>
        </w:rPr>
      </w:pPr>
      <w:r>
        <w:rPr>
          <w:rFonts w:hint="eastAsia" w:ascii="宋体" w:hAnsi="宋体" w:eastAsia="宋体" w:cs="宋体"/>
          <w:color w:val="auto"/>
          <w:szCs w:val="24"/>
        </w:rPr>
        <w:t>（格式自定）</w:t>
      </w:r>
    </w:p>
    <w:p w14:paraId="19F666BE">
      <w:pPr>
        <w:pStyle w:val="26"/>
        <w:spacing w:line="360" w:lineRule="auto"/>
        <w:rPr>
          <w:rFonts w:hint="eastAsia" w:ascii="宋体" w:hAnsi="宋体" w:eastAsia="宋体" w:cs="宋体"/>
          <w:color w:val="auto"/>
          <w:szCs w:val="24"/>
        </w:rPr>
      </w:pPr>
      <w:r>
        <w:rPr>
          <w:rFonts w:hint="eastAsia" w:ascii="宋体" w:hAnsi="宋体" w:eastAsia="宋体" w:cs="宋体"/>
          <w:color w:val="auto"/>
          <w:szCs w:val="24"/>
        </w:rPr>
        <w:t>项目名称：</w:t>
      </w:r>
      <w:r>
        <w:rPr>
          <w:rFonts w:hint="eastAsia" w:ascii="宋体" w:hAnsi="宋体" w:eastAsia="宋体" w:cs="宋体"/>
          <w:color w:val="auto"/>
        </w:rPr>
        <w:t>【项目名称】</w:t>
      </w:r>
    </w:p>
    <w:p w14:paraId="7EFF52E3">
      <w:pPr>
        <w:spacing w:line="360" w:lineRule="auto"/>
        <w:rPr>
          <w:rFonts w:hint="eastAsia" w:ascii="宋体" w:hAnsi="宋体" w:eastAsia="宋体" w:cs="宋体"/>
          <w:color w:val="auto"/>
          <w:sz w:val="24"/>
        </w:rPr>
      </w:pPr>
      <w:r>
        <w:rPr>
          <w:rFonts w:hint="eastAsia" w:ascii="宋体" w:hAnsi="宋体" w:eastAsia="宋体" w:cs="宋体"/>
          <w:color w:val="auto"/>
          <w:sz w:val="24"/>
        </w:rPr>
        <w:t>项目编号：【项目编号】</w:t>
      </w:r>
    </w:p>
    <w:p w14:paraId="3B3E7050">
      <w:pPr>
        <w:spacing w:line="360" w:lineRule="auto"/>
        <w:rPr>
          <w:rFonts w:hint="eastAsia" w:ascii="宋体" w:hAnsi="宋体" w:eastAsia="宋体" w:cs="宋体"/>
          <w:color w:val="auto"/>
          <w:sz w:val="24"/>
        </w:rPr>
      </w:pPr>
    </w:p>
    <w:p w14:paraId="1B7F89DA">
      <w:pPr>
        <w:pStyle w:val="66"/>
        <w:spacing w:line="360" w:lineRule="auto"/>
        <w:rPr>
          <w:rFonts w:hint="eastAsia" w:ascii="宋体" w:hAnsi="宋体" w:eastAsia="宋体" w:cs="宋体"/>
          <w:color w:val="auto"/>
        </w:rPr>
      </w:pPr>
    </w:p>
    <w:p w14:paraId="1A0A86E3">
      <w:pPr>
        <w:pStyle w:val="66"/>
        <w:spacing w:line="360" w:lineRule="auto"/>
        <w:rPr>
          <w:rFonts w:hint="eastAsia" w:ascii="宋体" w:hAnsi="宋体" w:eastAsia="宋体" w:cs="宋体"/>
          <w:color w:val="auto"/>
        </w:rPr>
      </w:pPr>
    </w:p>
    <w:p w14:paraId="09D8CACD">
      <w:pPr>
        <w:pStyle w:val="66"/>
        <w:spacing w:line="360" w:lineRule="auto"/>
        <w:rPr>
          <w:rFonts w:hint="eastAsia" w:ascii="宋体" w:hAnsi="宋体" w:eastAsia="宋体" w:cs="宋体"/>
          <w:color w:val="auto"/>
        </w:rPr>
      </w:pPr>
    </w:p>
    <w:p w14:paraId="29F9B106">
      <w:pPr>
        <w:pStyle w:val="66"/>
        <w:spacing w:line="360" w:lineRule="auto"/>
        <w:rPr>
          <w:rFonts w:hint="eastAsia" w:ascii="宋体" w:hAnsi="宋体" w:eastAsia="宋体" w:cs="宋体"/>
          <w:color w:val="auto"/>
        </w:rPr>
      </w:pPr>
    </w:p>
    <w:p w14:paraId="35E84283">
      <w:pPr>
        <w:pStyle w:val="66"/>
        <w:spacing w:line="360" w:lineRule="auto"/>
        <w:rPr>
          <w:rFonts w:hint="eastAsia" w:ascii="宋体" w:hAnsi="宋体" w:eastAsia="宋体" w:cs="宋体"/>
          <w:color w:val="auto"/>
        </w:rPr>
      </w:pPr>
    </w:p>
    <w:p w14:paraId="7D749F8D">
      <w:pPr>
        <w:pStyle w:val="66"/>
        <w:spacing w:line="360" w:lineRule="auto"/>
        <w:rPr>
          <w:rFonts w:hint="eastAsia" w:ascii="宋体" w:hAnsi="宋体" w:eastAsia="宋体" w:cs="宋体"/>
          <w:color w:val="auto"/>
        </w:rPr>
      </w:pPr>
    </w:p>
    <w:p w14:paraId="73038489">
      <w:pPr>
        <w:pStyle w:val="66"/>
        <w:spacing w:line="360" w:lineRule="auto"/>
        <w:rPr>
          <w:rFonts w:hint="eastAsia" w:ascii="宋体" w:hAnsi="宋体" w:eastAsia="宋体" w:cs="宋体"/>
          <w:color w:val="auto"/>
        </w:rPr>
      </w:pPr>
    </w:p>
    <w:p w14:paraId="41A285D7">
      <w:pPr>
        <w:pStyle w:val="66"/>
        <w:spacing w:line="360" w:lineRule="auto"/>
        <w:rPr>
          <w:rFonts w:hint="eastAsia" w:ascii="宋体" w:hAnsi="宋体" w:eastAsia="宋体" w:cs="宋体"/>
          <w:color w:val="auto"/>
        </w:rPr>
      </w:pPr>
    </w:p>
    <w:p w14:paraId="439063F5">
      <w:pPr>
        <w:pStyle w:val="66"/>
        <w:spacing w:line="360" w:lineRule="auto"/>
        <w:rPr>
          <w:rFonts w:hint="eastAsia" w:ascii="宋体" w:hAnsi="宋体" w:eastAsia="宋体" w:cs="宋体"/>
          <w:color w:val="auto"/>
        </w:rPr>
      </w:pPr>
    </w:p>
    <w:p w14:paraId="09B971B5">
      <w:pPr>
        <w:pStyle w:val="66"/>
        <w:spacing w:line="360" w:lineRule="auto"/>
        <w:rPr>
          <w:rFonts w:hint="eastAsia" w:ascii="宋体" w:hAnsi="宋体" w:eastAsia="宋体" w:cs="宋体"/>
          <w:color w:val="auto"/>
        </w:rPr>
      </w:pPr>
    </w:p>
    <w:p w14:paraId="661F399B">
      <w:pPr>
        <w:pStyle w:val="66"/>
        <w:spacing w:line="360" w:lineRule="auto"/>
        <w:rPr>
          <w:rFonts w:hint="eastAsia" w:ascii="宋体" w:hAnsi="宋体" w:eastAsia="宋体" w:cs="宋体"/>
          <w:color w:val="auto"/>
        </w:rPr>
      </w:pPr>
    </w:p>
    <w:p w14:paraId="71A333B2">
      <w:pPr>
        <w:pStyle w:val="66"/>
        <w:spacing w:line="360" w:lineRule="auto"/>
        <w:rPr>
          <w:rFonts w:hint="eastAsia" w:ascii="宋体" w:hAnsi="宋体" w:eastAsia="宋体" w:cs="宋体"/>
          <w:color w:val="auto"/>
        </w:rPr>
      </w:pPr>
    </w:p>
    <w:p w14:paraId="552C4FCD">
      <w:pPr>
        <w:pStyle w:val="66"/>
        <w:spacing w:line="360" w:lineRule="auto"/>
        <w:rPr>
          <w:rFonts w:hint="eastAsia" w:ascii="宋体" w:hAnsi="宋体" w:eastAsia="宋体" w:cs="宋体"/>
          <w:color w:val="auto"/>
        </w:rPr>
      </w:pPr>
    </w:p>
    <w:p w14:paraId="05081FEE">
      <w:pPr>
        <w:pStyle w:val="66"/>
        <w:spacing w:line="360" w:lineRule="auto"/>
        <w:rPr>
          <w:rFonts w:hint="eastAsia" w:ascii="宋体" w:hAnsi="宋体" w:eastAsia="宋体" w:cs="宋体"/>
          <w:color w:val="auto"/>
        </w:rPr>
      </w:pPr>
    </w:p>
    <w:p w14:paraId="4A59780F">
      <w:pPr>
        <w:pStyle w:val="66"/>
        <w:spacing w:line="360" w:lineRule="auto"/>
        <w:rPr>
          <w:rFonts w:hint="eastAsia" w:ascii="宋体" w:hAnsi="宋体" w:eastAsia="宋体" w:cs="宋体"/>
          <w:color w:val="auto"/>
        </w:rPr>
      </w:pPr>
    </w:p>
    <w:p w14:paraId="13DE4CCF">
      <w:pPr>
        <w:pStyle w:val="66"/>
        <w:spacing w:line="360" w:lineRule="auto"/>
        <w:rPr>
          <w:rFonts w:hint="eastAsia" w:ascii="宋体" w:hAnsi="宋体" w:eastAsia="宋体" w:cs="宋体"/>
          <w:color w:val="auto"/>
        </w:rPr>
      </w:pPr>
    </w:p>
    <w:p w14:paraId="1C122BB1">
      <w:pPr>
        <w:pStyle w:val="66"/>
        <w:spacing w:line="360" w:lineRule="auto"/>
        <w:rPr>
          <w:rFonts w:hint="eastAsia" w:ascii="宋体" w:hAnsi="宋体" w:eastAsia="宋体" w:cs="宋体"/>
          <w:color w:val="auto"/>
        </w:rPr>
      </w:pPr>
    </w:p>
    <w:p w14:paraId="6E898E33">
      <w:pPr>
        <w:pStyle w:val="66"/>
        <w:spacing w:line="360" w:lineRule="auto"/>
        <w:rPr>
          <w:rFonts w:hint="eastAsia" w:ascii="宋体" w:hAnsi="宋体" w:eastAsia="宋体" w:cs="宋体"/>
          <w:color w:val="auto"/>
        </w:rPr>
      </w:pPr>
    </w:p>
    <w:p w14:paraId="5E1E1F46">
      <w:pPr>
        <w:spacing w:line="360" w:lineRule="auto"/>
        <w:outlineLvl w:val="1"/>
        <w:rPr>
          <w:rFonts w:hint="eastAsia" w:ascii="宋体" w:hAnsi="宋体" w:eastAsia="宋体" w:cs="宋体"/>
          <w:b/>
          <w:bCs/>
          <w:color w:val="auto"/>
          <w:sz w:val="28"/>
          <w:szCs w:val="28"/>
        </w:rPr>
      </w:pPr>
      <w:r>
        <w:rPr>
          <w:rFonts w:hint="eastAsia" w:ascii="宋体" w:hAnsi="宋体" w:eastAsia="宋体" w:cs="宋体"/>
          <w:b/>
          <w:bCs/>
          <w:color w:val="auto"/>
          <w:sz w:val="28"/>
          <w:szCs w:val="28"/>
        </w:rPr>
        <w:br w:type="page" w:clear="all"/>
      </w:r>
    </w:p>
    <w:p w14:paraId="5106740B">
      <w:pPr>
        <w:pStyle w:val="6"/>
        <w:spacing w:line="360" w:lineRule="auto"/>
        <w:jc w:val="center"/>
        <w:rPr>
          <w:rFonts w:hint="eastAsia" w:ascii="宋体" w:hAnsi="宋体" w:eastAsia="宋体" w:cs="宋体"/>
          <w:color w:val="auto"/>
        </w:rPr>
      </w:pPr>
      <w:r>
        <w:rPr>
          <w:rFonts w:hint="eastAsia" w:ascii="宋体" w:hAnsi="宋体" w:eastAsia="宋体" w:cs="宋体"/>
          <w:color w:val="auto"/>
          <w:sz w:val="32"/>
          <w:szCs w:val="32"/>
        </w:rPr>
        <w:t>类似项目业绩一览表</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3"/>
        <w:gridCol w:w="2464"/>
        <w:gridCol w:w="2155"/>
        <w:gridCol w:w="1372"/>
        <w:gridCol w:w="2443"/>
      </w:tblGrid>
      <w:tr w14:paraId="21C09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6" w:hRule="atLeast"/>
          <w:jc w:val="center"/>
        </w:trPr>
        <w:tc>
          <w:tcPr>
            <w:tcW w:w="1023" w:type="dxa"/>
            <w:noWrap w:val="0"/>
            <w:vAlign w:val="center"/>
          </w:tcPr>
          <w:p w14:paraId="30386AED">
            <w:pPr>
              <w:spacing w:line="360" w:lineRule="auto"/>
              <w:jc w:val="center"/>
              <w:rPr>
                <w:rFonts w:hint="eastAsia" w:ascii="宋体" w:hAnsi="宋体" w:eastAsia="宋体" w:cs="宋体"/>
                <w:color w:val="auto"/>
                <w:sz w:val="28"/>
              </w:rPr>
            </w:pPr>
            <w:r>
              <w:rPr>
                <w:rFonts w:hint="eastAsia" w:ascii="宋体" w:hAnsi="宋体" w:eastAsia="宋体" w:cs="宋体"/>
                <w:color w:val="auto"/>
                <w:sz w:val="28"/>
              </w:rPr>
              <w:t>序号</w:t>
            </w:r>
          </w:p>
        </w:tc>
        <w:tc>
          <w:tcPr>
            <w:tcW w:w="2464" w:type="dxa"/>
            <w:noWrap w:val="0"/>
            <w:vAlign w:val="center"/>
          </w:tcPr>
          <w:p w14:paraId="6994BE30">
            <w:pPr>
              <w:spacing w:line="360" w:lineRule="auto"/>
              <w:jc w:val="center"/>
              <w:rPr>
                <w:rFonts w:hint="eastAsia" w:ascii="宋体" w:hAnsi="宋体" w:eastAsia="宋体" w:cs="宋体"/>
                <w:color w:val="auto"/>
                <w:sz w:val="28"/>
              </w:rPr>
            </w:pPr>
            <w:r>
              <w:rPr>
                <w:rFonts w:hint="eastAsia" w:ascii="宋体" w:hAnsi="宋体" w:eastAsia="宋体" w:cs="宋体"/>
                <w:color w:val="auto"/>
                <w:sz w:val="28"/>
              </w:rPr>
              <w:t>工程名称</w:t>
            </w:r>
          </w:p>
        </w:tc>
        <w:tc>
          <w:tcPr>
            <w:tcW w:w="2155" w:type="dxa"/>
            <w:noWrap w:val="0"/>
            <w:vAlign w:val="center"/>
          </w:tcPr>
          <w:p w14:paraId="01A3A256">
            <w:pPr>
              <w:spacing w:line="360" w:lineRule="auto"/>
              <w:jc w:val="center"/>
              <w:rPr>
                <w:rFonts w:hint="eastAsia" w:ascii="宋体" w:hAnsi="宋体" w:eastAsia="宋体" w:cs="宋体"/>
                <w:color w:val="auto"/>
                <w:sz w:val="28"/>
              </w:rPr>
            </w:pPr>
            <w:r>
              <w:rPr>
                <w:rFonts w:hint="eastAsia" w:ascii="宋体" w:hAnsi="宋体" w:eastAsia="宋体" w:cs="宋体"/>
                <w:color w:val="auto"/>
                <w:sz w:val="28"/>
              </w:rPr>
              <w:t>签订时间</w:t>
            </w:r>
          </w:p>
        </w:tc>
        <w:tc>
          <w:tcPr>
            <w:tcW w:w="1372" w:type="dxa"/>
            <w:noWrap w:val="0"/>
            <w:vAlign w:val="center"/>
          </w:tcPr>
          <w:p w14:paraId="5EED59F4">
            <w:pPr>
              <w:spacing w:line="360" w:lineRule="auto"/>
              <w:jc w:val="center"/>
              <w:rPr>
                <w:rFonts w:hint="eastAsia" w:ascii="宋体" w:hAnsi="宋体" w:eastAsia="宋体" w:cs="宋体"/>
                <w:color w:val="auto"/>
                <w:sz w:val="28"/>
              </w:rPr>
            </w:pPr>
            <w:r>
              <w:rPr>
                <w:rFonts w:hint="eastAsia" w:ascii="宋体" w:hAnsi="宋体" w:eastAsia="宋体" w:cs="宋体"/>
                <w:color w:val="auto"/>
                <w:sz w:val="28"/>
              </w:rPr>
              <w:t>业主单位</w:t>
            </w:r>
          </w:p>
        </w:tc>
        <w:tc>
          <w:tcPr>
            <w:tcW w:w="2443" w:type="dxa"/>
            <w:noWrap w:val="0"/>
            <w:vAlign w:val="center"/>
          </w:tcPr>
          <w:p w14:paraId="7AB84CE2">
            <w:pPr>
              <w:spacing w:line="360" w:lineRule="auto"/>
              <w:jc w:val="center"/>
              <w:rPr>
                <w:rFonts w:hint="eastAsia" w:ascii="宋体" w:hAnsi="宋体" w:eastAsia="宋体" w:cs="宋体"/>
                <w:color w:val="auto"/>
                <w:sz w:val="28"/>
              </w:rPr>
            </w:pPr>
            <w:r>
              <w:rPr>
                <w:rFonts w:hint="eastAsia" w:ascii="宋体" w:hAnsi="宋体" w:eastAsia="宋体" w:cs="宋体"/>
                <w:color w:val="auto"/>
                <w:sz w:val="28"/>
              </w:rPr>
              <w:t>合同金额</w:t>
            </w:r>
          </w:p>
        </w:tc>
      </w:tr>
      <w:tr w14:paraId="627BF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31973625">
            <w:pPr>
              <w:spacing w:line="360" w:lineRule="auto"/>
              <w:jc w:val="center"/>
              <w:rPr>
                <w:rFonts w:hint="eastAsia" w:ascii="宋体" w:hAnsi="宋体" w:eastAsia="宋体" w:cs="宋体"/>
                <w:color w:val="auto"/>
                <w:sz w:val="28"/>
              </w:rPr>
            </w:pPr>
          </w:p>
        </w:tc>
        <w:tc>
          <w:tcPr>
            <w:tcW w:w="2464" w:type="dxa"/>
            <w:noWrap w:val="0"/>
            <w:vAlign w:val="center"/>
          </w:tcPr>
          <w:p w14:paraId="74E1B1C7">
            <w:pPr>
              <w:spacing w:line="360" w:lineRule="auto"/>
              <w:jc w:val="center"/>
              <w:rPr>
                <w:rFonts w:hint="eastAsia" w:ascii="宋体" w:hAnsi="宋体" w:eastAsia="宋体" w:cs="宋体"/>
                <w:color w:val="auto"/>
                <w:sz w:val="28"/>
              </w:rPr>
            </w:pPr>
          </w:p>
        </w:tc>
        <w:tc>
          <w:tcPr>
            <w:tcW w:w="2155" w:type="dxa"/>
            <w:noWrap w:val="0"/>
            <w:vAlign w:val="center"/>
          </w:tcPr>
          <w:p w14:paraId="15928B85">
            <w:pPr>
              <w:spacing w:line="360" w:lineRule="auto"/>
              <w:jc w:val="center"/>
              <w:rPr>
                <w:rFonts w:hint="eastAsia" w:ascii="宋体" w:hAnsi="宋体" w:eastAsia="宋体" w:cs="宋体"/>
                <w:color w:val="auto"/>
                <w:sz w:val="28"/>
              </w:rPr>
            </w:pPr>
          </w:p>
        </w:tc>
        <w:tc>
          <w:tcPr>
            <w:tcW w:w="1372" w:type="dxa"/>
            <w:noWrap w:val="0"/>
            <w:vAlign w:val="center"/>
          </w:tcPr>
          <w:p w14:paraId="326EDA15">
            <w:pPr>
              <w:spacing w:line="360" w:lineRule="auto"/>
              <w:jc w:val="center"/>
              <w:rPr>
                <w:rFonts w:hint="eastAsia" w:ascii="宋体" w:hAnsi="宋体" w:eastAsia="宋体" w:cs="宋体"/>
                <w:color w:val="auto"/>
                <w:sz w:val="28"/>
              </w:rPr>
            </w:pPr>
          </w:p>
        </w:tc>
        <w:tc>
          <w:tcPr>
            <w:tcW w:w="2443" w:type="dxa"/>
            <w:noWrap w:val="0"/>
            <w:vAlign w:val="center"/>
          </w:tcPr>
          <w:p w14:paraId="7E53CECC">
            <w:pPr>
              <w:spacing w:line="360" w:lineRule="auto"/>
              <w:jc w:val="center"/>
              <w:rPr>
                <w:rFonts w:hint="eastAsia" w:ascii="宋体" w:hAnsi="宋体" w:eastAsia="宋体" w:cs="宋体"/>
                <w:color w:val="auto"/>
                <w:sz w:val="28"/>
              </w:rPr>
            </w:pPr>
          </w:p>
        </w:tc>
      </w:tr>
      <w:tr w14:paraId="2598E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4A8A9FD0">
            <w:pPr>
              <w:spacing w:line="360" w:lineRule="auto"/>
              <w:jc w:val="center"/>
              <w:rPr>
                <w:rFonts w:hint="eastAsia" w:ascii="宋体" w:hAnsi="宋体" w:eastAsia="宋体" w:cs="宋体"/>
                <w:color w:val="auto"/>
                <w:sz w:val="28"/>
              </w:rPr>
            </w:pPr>
          </w:p>
        </w:tc>
        <w:tc>
          <w:tcPr>
            <w:tcW w:w="2464" w:type="dxa"/>
            <w:noWrap w:val="0"/>
            <w:vAlign w:val="center"/>
          </w:tcPr>
          <w:p w14:paraId="269618E5">
            <w:pPr>
              <w:spacing w:line="360" w:lineRule="auto"/>
              <w:jc w:val="center"/>
              <w:rPr>
                <w:rFonts w:hint="eastAsia" w:ascii="宋体" w:hAnsi="宋体" w:eastAsia="宋体" w:cs="宋体"/>
                <w:color w:val="auto"/>
                <w:sz w:val="28"/>
              </w:rPr>
            </w:pPr>
          </w:p>
        </w:tc>
        <w:tc>
          <w:tcPr>
            <w:tcW w:w="2155" w:type="dxa"/>
            <w:noWrap w:val="0"/>
            <w:vAlign w:val="center"/>
          </w:tcPr>
          <w:p w14:paraId="3DD71152">
            <w:pPr>
              <w:spacing w:line="360" w:lineRule="auto"/>
              <w:jc w:val="center"/>
              <w:rPr>
                <w:rFonts w:hint="eastAsia" w:ascii="宋体" w:hAnsi="宋体" w:eastAsia="宋体" w:cs="宋体"/>
                <w:color w:val="auto"/>
                <w:sz w:val="28"/>
              </w:rPr>
            </w:pPr>
          </w:p>
        </w:tc>
        <w:tc>
          <w:tcPr>
            <w:tcW w:w="1372" w:type="dxa"/>
            <w:noWrap w:val="0"/>
            <w:vAlign w:val="center"/>
          </w:tcPr>
          <w:p w14:paraId="09A76CEE">
            <w:pPr>
              <w:spacing w:line="360" w:lineRule="auto"/>
              <w:jc w:val="center"/>
              <w:rPr>
                <w:rFonts w:hint="eastAsia" w:ascii="宋体" w:hAnsi="宋体" w:eastAsia="宋体" w:cs="宋体"/>
                <w:color w:val="auto"/>
                <w:sz w:val="28"/>
              </w:rPr>
            </w:pPr>
          </w:p>
        </w:tc>
        <w:tc>
          <w:tcPr>
            <w:tcW w:w="2443" w:type="dxa"/>
            <w:noWrap w:val="0"/>
            <w:vAlign w:val="center"/>
          </w:tcPr>
          <w:p w14:paraId="12C27CED">
            <w:pPr>
              <w:spacing w:line="360" w:lineRule="auto"/>
              <w:jc w:val="center"/>
              <w:rPr>
                <w:rFonts w:hint="eastAsia" w:ascii="宋体" w:hAnsi="宋体" w:eastAsia="宋体" w:cs="宋体"/>
                <w:color w:val="auto"/>
                <w:sz w:val="28"/>
              </w:rPr>
            </w:pPr>
          </w:p>
        </w:tc>
      </w:tr>
      <w:tr w14:paraId="6A003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55AECF6C">
            <w:pPr>
              <w:spacing w:line="360" w:lineRule="auto"/>
              <w:jc w:val="center"/>
              <w:rPr>
                <w:rFonts w:hint="eastAsia" w:ascii="宋体" w:hAnsi="宋体" w:eastAsia="宋体" w:cs="宋体"/>
                <w:color w:val="auto"/>
                <w:sz w:val="28"/>
              </w:rPr>
            </w:pPr>
          </w:p>
        </w:tc>
        <w:tc>
          <w:tcPr>
            <w:tcW w:w="2464" w:type="dxa"/>
            <w:noWrap w:val="0"/>
            <w:vAlign w:val="center"/>
          </w:tcPr>
          <w:p w14:paraId="03840FB6">
            <w:pPr>
              <w:spacing w:line="360" w:lineRule="auto"/>
              <w:jc w:val="center"/>
              <w:rPr>
                <w:rFonts w:hint="eastAsia" w:ascii="宋体" w:hAnsi="宋体" w:eastAsia="宋体" w:cs="宋体"/>
                <w:color w:val="auto"/>
                <w:sz w:val="28"/>
              </w:rPr>
            </w:pPr>
          </w:p>
        </w:tc>
        <w:tc>
          <w:tcPr>
            <w:tcW w:w="2155" w:type="dxa"/>
            <w:noWrap w:val="0"/>
            <w:vAlign w:val="center"/>
          </w:tcPr>
          <w:p w14:paraId="38862FF5">
            <w:pPr>
              <w:spacing w:line="360" w:lineRule="auto"/>
              <w:jc w:val="center"/>
              <w:rPr>
                <w:rFonts w:hint="eastAsia" w:ascii="宋体" w:hAnsi="宋体" w:eastAsia="宋体" w:cs="宋体"/>
                <w:color w:val="auto"/>
                <w:sz w:val="28"/>
              </w:rPr>
            </w:pPr>
          </w:p>
        </w:tc>
        <w:tc>
          <w:tcPr>
            <w:tcW w:w="1372" w:type="dxa"/>
            <w:noWrap w:val="0"/>
            <w:vAlign w:val="center"/>
          </w:tcPr>
          <w:p w14:paraId="342C1C36">
            <w:pPr>
              <w:spacing w:line="360" w:lineRule="auto"/>
              <w:jc w:val="center"/>
              <w:rPr>
                <w:rFonts w:hint="eastAsia" w:ascii="宋体" w:hAnsi="宋体" w:eastAsia="宋体" w:cs="宋体"/>
                <w:color w:val="auto"/>
                <w:sz w:val="28"/>
              </w:rPr>
            </w:pPr>
          </w:p>
        </w:tc>
        <w:tc>
          <w:tcPr>
            <w:tcW w:w="2443" w:type="dxa"/>
            <w:noWrap w:val="0"/>
            <w:vAlign w:val="center"/>
          </w:tcPr>
          <w:p w14:paraId="7DC30562">
            <w:pPr>
              <w:spacing w:line="360" w:lineRule="auto"/>
              <w:jc w:val="center"/>
              <w:rPr>
                <w:rFonts w:hint="eastAsia" w:ascii="宋体" w:hAnsi="宋体" w:eastAsia="宋体" w:cs="宋体"/>
                <w:color w:val="auto"/>
                <w:sz w:val="28"/>
              </w:rPr>
            </w:pPr>
          </w:p>
        </w:tc>
      </w:tr>
      <w:tr w14:paraId="258FC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78912AD3">
            <w:pPr>
              <w:spacing w:line="360" w:lineRule="auto"/>
              <w:jc w:val="center"/>
              <w:rPr>
                <w:rFonts w:hint="eastAsia" w:ascii="宋体" w:hAnsi="宋体" w:eastAsia="宋体" w:cs="宋体"/>
                <w:color w:val="auto"/>
                <w:sz w:val="28"/>
              </w:rPr>
            </w:pPr>
          </w:p>
        </w:tc>
        <w:tc>
          <w:tcPr>
            <w:tcW w:w="2464" w:type="dxa"/>
            <w:noWrap w:val="0"/>
            <w:vAlign w:val="center"/>
          </w:tcPr>
          <w:p w14:paraId="2CD26347">
            <w:pPr>
              <w:spacing w:line="360" w:lineRule="auto"/>
              <w:jc w:val="center"/>
              <w:rPr>
                <w:rFonts w:hint="eastAsia" w:ascii="宋体" w:hAnsi="宋体" w:eastAsia="宋体" w:cs="宋体"/>
                <w:color w:val="auto"/>
                <w:sz w:val="28"/>
              </w:rPr>
            </w:pPr>
          </w:p>
        </w:tc>
        <w:tc>
          <w:tcPr>
            <w:tcW w:w="2155" w:type="dxa"/>
            <w:noWrap w:val="0"/>
            <w:vAlign w:val="center"/>
          </w:tcPr>
          <w:p w14:paraId="5D3BF7DD">
            <w:pPr>
              <w:spacing w:line="360" w:lineRule="auto"/>
              <w:jc w:val="center"/>
              <w:rPr>
                <w:rFonts w:hint="eastAsia" w:ascii="宋体" w:hAnsi="宋体" w:eastAsia="宋体" w:cs="宋体"/>
                <w:color w:val="auto"/>
                <w:sz w:val="28"/>
              </w:rPr>
            </w:pPr>
          </w:p>
        </w:tc>
        <w:tc>
          <w:tcPr>
            <w:tcW w:w="1372" w:type="dxa"/>
            <w:noWrap w:val="0"/>
            <w:vAlign w:val="center"/>
          </w:tcPr>
          <w:p w14:paraId="618F9561">
            <w:pPr>
              <w:spacing w:line="360" w:lineRule="auto"/>
              <w:jc w:val="center"/>
              <w:rPr>
                <w:rFonts w:hint="eastAsia" w:ascii="宋体" w:hAnsi="宋体" w:eastAsia="宋体" w:cs="宋体"/>
                <w:color w:val="auto"/>
                <w:sz w:val="28"/>
              </w:rPr>
            </w:pPr>
          </w:p>
        </w:tc>
        <w:tc>
          <w:tcPr>
            <w:tcW w:w="2443" w:type="dxa"/>
            <w:noWrap w:val="0"/>
            <w:vAlign w:val="center"/>
          </w:tcPr>
          <w:p w14:paraId="33B07415">
            <w:pPr>
              <w:spacing w:line="360" w:lineRule="auto"/>
              <w:jc w:val="center"/>
              <w:rPr>
                <w:rFonts w:hint="eastAsia" w:ascii="宋体" w:hAnsi="宋体" w:eastAsia="宋体" w:cs="宋体"/>
                <w:color w:val="auto"/>
                <w:sz w:val="28"/>
              </w:rPr>
            </w:pPr>
          </w:p>
        </w:tc>
      </w:tr>
      <w:tr w14:paraId="438B9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7D704EA7">
            <w:pPr>
              <w:spacing w:line="360" w:lineRule="auto"/>
              <w:jc w:val="center"/>
              <w:rPr>
                <w:rFonts w:hint="eastAsia" w:ascii="宋体" w:hAnsi="宋体" w:eastAsia="宋体" w:cs="宋体"/>
                <w:color w:val="auto"/>
                <w:sz w:val="28"/>
              </w:rPr>
            </w:pPr>
          </w:p>
        </w:tc>
        <w:tc>
          <w:tcPr>
            <w:tcW w:w="2464" w:type="dxa"/>
            <w:noWrap w:val="0"/>
            <w:vAlign w:val="center"/>
          </w:tcPr>
          <w:p w14:paraId="217D6B27">
            <w:pPr>
              <w:spacing w:line="360" w:lineRule="auto"/>
              <w:jc w:val="center"/>
              <w:rPr>
                <w:rFonts w:hint="eastAsia" w:ascii="宋体" w:hAnsi="宋体" w:eastAsia="宋体" w:cs="宋体"/>
                <w:color w:val="auto"/>
                <w:sz w:val="28"/>
              </w:rPr>
            </w:pPr>
          </w:p>
        </w:tc>
        <w:tc>
          <w:tcPr>
            <w:tcW w:w="2155" w:type="dxa"/>
            <w:noWrap w:val="0"/>
            <w:vAlign w:val="center"/>
          </w:tcPr>
          <w:p w14:paraId="39BD454B">
            <w:pPr>
              <w:spacing w:line="360" w:lineRule="auto"/>
              <w:jc w:val="center"/>
              <w:rPr>
                <w:rFonts w:hint="eastAsia" w:ascii="宋体" w:hAnsi="宋体" w:eastAsia="宋体" w:cs="宋体"/>
                <w:color w:val="auto"/>
                <w:sz w:val="28"/>
              </w:rPr>
            </w:pPr>
          </w:p>
        </w:tc>
        <w:tc>
          <w:tcPr>
            <w:tcW w:w="1372" w:type="dxa"/>
            <w:noWrap w:val="0"/>
            <w:vAlign w:val="center"/>
          </w:tcPr>
          <w:p w14:paraId="4920EDB1">
            <w:pPr>
              <w:spacing w:line="360" w:lineRule="auto"/>
              <w:jc w:val="center"/>
              <w:rPr>
                <w:rFonts w:hint="eastAsia" w:ascii="宋体" w:hAnsi="宋体" w:eastAsia="宋体" w:cs="宋体"/>
                <w:color w:val="auto"/>
                <w:sz w:val="28"/>
              </w:rPr>
            </w:pPr>
          </w:p>
        </w:tc>
        <w:tc>
          <w:tcPr>
            <w:tcW w:w="2443" w:type="dxa"/>
            <w:noWrap w:val="0"/>
            <w:vAlign w:val="center"/>
          </w:tcPr>
          <w:p w14:paraId="5E02F1A6">
            <w:pPr>
              <w:spacing w:line="360" w:lineRule="auto"/>
              <w:jc w:val="center"/>
              <w:rPr>
                <w:rFonts w:hint="eastAsia" w:ascii="宋体" w:hAnsi="宋体" w:eastAsia="宋体" w:cs="宋体"/>
                <w:color w:val="auto"/>
                <w:sz w:val="28"/>
              </w:rPr>
            </w:pPr>
          </w:p>
        </w:tc>
      </w:tr>
      <w:tr w14:paraId="25993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7633C67A">
            <w:pPr>
              <w:spacing w:line="360" w:lineRule="auto"/>
              <w:jc w:val="center"/>
              <w:rPr>
                <w:rFonts w:hint="eastAsia" w:ascii="宋体" w:hAnsi="宋体" w:eastAsia="宋体" w:cs="宋体"/>
                <w:color w:val="auto"/>
                <w:sz w:val="28"/>
              </w:rPr>
            </w:pPr>
          </w:p>
        </w:tc>
        <w:tc>
          <w:tcPr>
            <w:tcW w:w="2464" w:type="dxa"/>
            <w:noWrap w:val="0"/>
            <w:vAlign w:val="center"/>
          </w:tcPr>
          <w:p w14:paraId="70AAC5D0">
            <w:pPr>
              <w:spacing w:line="360" w:lineRule="auto"/>
              <w:jc w:val="center"/>
              <w:rPr>
                <w:rFonts w:hint="eastAsia" w:ascii="宋体" w:hAnsi="宋体" w:eastAsia="宋体" w:cs="宋体"/>
                <w:color w:val="auto"/>
                <w:sz w:val="28"/>
              </w:rPr>
            </w:pPr>
          </w:p>
        </w:tc>
        <w:tc>
          <w:tcPr>
            <w:tcW w:w="2155" w:type="dxa"/>
            <w:noWrap w:val="0"/>
            <w:vAlign w:val="center"/>
          </w:tcPr>
          <w:p w14:paraId="7E0E8727">
            <w:pPr>
              <w:spacing w:line="360" w:lineRule="auto"/>
              <w:jc w:val="center"/>
              <w:rPr>
                <w:rFonts w:hint="eastAsia" w:ascii="宋体" w:hAnsi="宋体" w:eastAsia="宋体" w:cs="宋体"/>
                <w:color w:val="auto"/>
                <w:sz w:val="28"/>
              </w:rPr>
            </w:pPr>
          </w:p>
        </w:tc>
        <w:tc>
          <w:tcPr>
            <w:tcW w:w="1372" w:type="dxa"/>
            <w:noWrap w:val="0"/>
            <w:vAlign w:val="center"/>
          </w:tcPr>
          <w:p w14:paraId="08800C7B">
            <w:pPr>
              <w:spacing w:line="360" w:lineRule="auto"/>
              <w:jc w:val="center"/>
              <w:rPr>
                <w:rFonts w:hint="eastAsia" w:ascii="宋体" w:hAnsi="宋体" w:eastAsia="宋体" w:cs="宋体"/>
                <w:color w:val="auto"/>
                <w:sz w:val="28"/>
              </w:rPr>
            </w:pPr>
          </w:p>
        </w:tc>
        <w:tc>
          <w:tcPr>
            <w:tcW w:w="2443" w:type="dxa"/>
            <w:noWrap w:val="0"/>
            <w:vAlign w:val="center"/>
          </w:tcPr>
          <w:p w14:paraId="1F793367">
            <w:pPr>
              <w:spacing w:line="360" w:lineRule="auto"/>
              <w:jc w:val="center"/>
              <w:rPr>
                <w:rFonts w:hint="eastAsia" w:ascii="宋体" w:hAnsi="宋体" w:eastAsia="宋体" w:cs="宋体"/>
                <w:color w:val="auto"/>
                <w:sz w:val="28"/>
              </w:rPr>
            </w:pPr>
          </w:p>
        </w:tc>
      </w:tr>
      <w:tr w14:paraId="1BED3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4D75F2FE">
            <w:pPr>
              <w:spacing w:line="360" w:lineRule="auto"/>
              <w:jc w:val="center"/>
              <w:rPr>
                <w:rFonts w:hint="eastAsia" w:ascii="宋体" w:hAnsi="宋体" w:eastAsia="宋体" w:cs="宋体"/>
                <w:color w:val="auto"/>
                <w:sz w:val="28"/>
              </w:rPr>
            </w:pPr>
          </w:p>
        </w:tc>
        <w:tc>
          <w:tcPr>
            <w:tcW w:w="2464" w:type="dxa"/>
            <w:noWrap w:val="0"/>
            <w:vAlign w:val="center"/>
          </w:tcPr>
          <w:p w14:paraId="24491E94">
            <w:pPr>
              <w:spacing w:line="360" w:lineRule="auto"/>
              <w:jc w:val="center"/>
              <w:rPr>
                <w:rFonts w:hint="eastAsia" w:ascii="宋体" w:hAnsi="宋体" w:eastAsia="宋体" w:cs="宋体"/>
                <w:color w:val="auto"/>
                <w:sz w:val="28"/>
              </w:rPr>
            </w:pPr>
          </w:p>
        </w:tc>
        <w:tc>
          <w:tcPr>
            <w:tcW w:w="2155" w:type="dxa"/>
            <w:noWrap w:val="0"/>
            <w:vAlign w:val="center"/>
          </w:tcPr>
          <w:p w14:paraId="36E996DB">
            <w:pPr>
              <w:spacing w:line="360" w:lineRule="auto"/>
              <w:jc w:val="center"/>
              <w:rPr>
                <w:rFonts w:hint="eastAsia" w:ascii="宋体" w:hAnsi="宋体" w:eastAsia="宋体" w:cs="宋体"/>
                <w:color w:val="auto"/>
                <w:sz w:val="28"/>
              </w:rPr>
            </w:pPr>
          </w:p>
        </w:tc>
        <w:tc>
          <w:tcPr>
            <w:tcW w:w="1372" w:type="dxa"/>
            <w:noWrap w:val="0"/>
            <w:vAlign w:val="center"/>
          </w:tcPr>
          <w:p w14:paraId="13898292">
            <w:pPr>
              <w:spacing w:line="360" w:lineRule="auto"/>
              <w:jc w:val="center"/>
              <w:rPr>
                <w:rFonts w:hint="eastAsia" w:ascii="宋体" w:hAnsi="宋体" w:eastAsia="宋体" w:cs="宋体"/>
                <w:color w:val="auto"/>
                <w:sz w:val="28"/>
              </w:rPr>
            </w:pPr>
          </w:p>
        </w:tc>
        <w:tc>
          <w:tcPr>
            <w:tcW w:w="2443" w:type="dxa"/>
            <w:noWrap w:val="0"/>
            <w:vAlign w:val="center"/>
          </w:tcPr>
          <w:p w14:paraId="2927E710">
            <w:pPr>
              <w:spacing w:line="360" w:lineRule="auto"/>
              <w:jc w:val="center"/>
              <w:rPr>
                <w:rFonts w:hint="eastAsia" w:ascii="宋体" w:hAnsi="宋体" w:eastAsia="宋体" w:cs="宋体"/>
                <w:color w:val="auto"/>
                <w:sz w:val="28"/>
              </w:rPr>
            </w:pPr>
          </w:p>
        </w:tc>
      </w:tr>
      <w:tr w14:paraId="2BAD5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3EFDB9A8">
            <w:pPr>
              <w:spacing w:line="360" w:lineRule="auto"/>
              <w:jc w:val="center"/>
              <w:rPr>
                <w:rFonts w:hint="eastAsia" w:ascii="宋体" w:hAnsi="宋体" w:eastAsia="宋体" w:cs="宋体"/>
                <w:color w:val="auto"/>
                <w:sz w:val="28"/>
              </w:rPr>
            </w:pPr>
          </w:p>
        </w:tc>
        <w:tc>
          <w:tcPr>
            <w:tcW w:w="2464" w:type="dxa"/>
            <w:noWrap w:val="0"/>
            <w:vAlign w:val="center"/>
          </w:tcPr>
          <w:p w14:paraId="01416FA6">
            <w:pPr>
              <w:spacing w:line="360" w:lineRule="auto"/>
              <w:jc w:val="center"/>
              <w:rPr>
                <w:rFonts w:hint="eastAsia" w:ascii="宋体" w:hAnsi="宋体" w:eastAsia="宋体" w:cs="宋体"/>
                <w:color w:val="auto"/>
                <w:sz w:val="28"/>
              </w:rPr>
            </w:pPr>
          </w:p>
        </w:tc>
        <w:tc>
          <w:tcPr>
            <w:tcW w:w="2155" w:type="dxa"/>
            <w:noWrap w:val="0"/>
            <w:vAlign w:val="center"/>
          </w:tcPr>
          <w:p w14:paraId="486562D2">
            <w:pPr>
              <w:spacing w:line="360" w:lineRule="auto"/>
              <w:jc w:val="center"/>
              <w:rPr>
                <w:rFonts w:hint="eastAsia" w:ascii="宋体" w:hAnsi="宋体" w:eastAsia="宋体" w:cs="宋体"/>
                <w:color w:val="auto"/>
                <w:sz w:val="28"/>
              </w:rPr>
            </w:pPr>
          </w:p>
        </w:tc>
        <w:tc>
          <w:tcPr>
            <w:tcW w:w="1372" w:type="dxa"/>
            <w:noWrap w:val="0"/>
            <w:vAlign w:val="center"/>
          </w:tcPr>
          <w:p w14:paraId="6F328C25">
            <w:pPr>
              <w:spacing w:line="360" w:lineRule="auto"/>
              <w:jc w:val="center"/>
              <w:rPr>
                <w:rFonts w:hint="eastAsia" w:ascii="宋体" w:hAnsi="宋体" w:eastAsia="宋体" w:cs="宋体"/>
                <w:color w:val="auto"/>
                <w:sz w:val="28"/>
              </w:rPr>
            </w:pPr>
          </w:p>
        </w:tc>
        <w:tc>
          <w:tcPr>
            <w:tcW w:w="2443" w:type="dxa"/>
            <w:noWrap w:val="0"/>
            <w:vAlign w:val="center"/>
          </w:tcPr>
          <w:p w14:paraId="7FF171FB">
            <w:pPr>
              <w:spacing w:line="360" w:lineRule="auto"/>
              <w:jc w:val="center"/>
              <w:rPr>
                <w:rFonts w:hint="eastAsia" w:ascii="宋体" w:hAnsi="宋体" w:eastAsia="宋体" w:cs="宋体"/>
                <w:color w:val="auto"/>
                <w:sz w:val="28"/>
              </w:rPr>
            </w:pPr>
          </w:p>
        </w:tc>
      </w:tr>
      <w:tr w14:paraId="495C9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13EA986B">
            <w:pPr>
              <w:spacing w:line="360" w:lineRule="auto"/>
              <w:jc w:val="center"/>
              <w:rPr>
                <w:rFonts w:hint="eastAsia" w:ascii="宋体" w:hAnsi="宋体" w:eastAsia="宋体" w:cs="宋体"/>
                <w:color w:val="auto"/>
                <w:sz w:val="28"/>
              </w:rPr>
            </w:pPr>
          </w:p>
        </w:tc>
        <w:tc>
          <w:tcPr>
            <w:tcW w:w="2464" w:type="dxa"/>
            <w:noWrap w:val="0"/>
            <w:vAlign w:val="center"/>
          </w:tcPr>
          <w:p w14:paraId="1658B124">
            <w:pPr>
              <w:spacing w:line="360" w:lineRule="auto"/>
              <w:jc w:val="center"/>
              <w:rPr>
                <w:rFonts w:hint="eastAsia" w:ascii="宋体" w:hAnsi="宋体" w:eastAsia="宋体" w:cs="宋体"/>
                <w:color w:val="auto"/>
                <w:sz w:val="28"/>
              </w:rPr>
            </w:pPr>
          </w:p>
        </w:tc>
        <w:tc>
          <w:tcPr>
            <w:tcW w:w="2155" w:type="dxa"/>
            <w:noWrap w:val="0"/>
            <w:vAlign w:val="center"/>
          </w:tcPr>
          <w:p w14:paraId="0BBE4750">
            <w:pPr>
              <w:spacing w:line="360" w:lineRule="auto"/>
              <w:jc w:val="center"/>
              <w:rPr>
                <w:rFonts w:hint="eastAsia" w:ascii="宋体" w:hAnsi="宋体" w:eastAsia="宋体" w:cs="宋体"/>
                <w:color w:val="auto"/>
                <w:sz w:val="28"/>
              </w:rPr>
            </w:pPr>
          </w:p>
        </w:tc>
        <w:tc>
          <w:tcPr>
            <w:tcW w:w="1372" w:type="dxa"/>
            <w:noWrap w:val="0"/>
            <w:vAlign w:val="center"/>
          </w:tcPr>
          <w:p w14:paraId="3EFE50FA">
            <w:pPr>
              <w:spacing w:line="360" w:lineRule="auto"/>
              <w:jc w:val="center"/>
              <w:rPr>
                <w:rFonts w:hint="eastAsia" w:ascii="宋体" w:hAnsi="宋体" w:eastAsia="宋体" w:cs="宋体"/>
                <w:color w:val="auto"/>
                <w:sz w:val="28"/>
              </w:rPr>
            </w:pPr>
          </w:p>
        </w:tc>
        <w:tc>
          <w:tcPr>
            <w:tcW w:w="2443" w:type="dxa"/>
            <w:noWrap w:val="0"/>
            <w:vAlign w:val="center"/>
          </w:tcPr>
          <w:p w14:paraId="6E7C00DD">
            <w:pPr>
              <w:spacing w:line="360" w:lineRule="auto"/>
              <w:jc w:val="center"/>
              <w:rPr>
                <w:rFonts w:hint="eastAsia" w:ascii="宋体" w:hAnsi="宋体" w:eastAsia="宋体" w:cs="宋体"/>
                <w:color w:val="auto"/>
                <w:sz w:val="28"/>
              </w:rPr>
            </w:pPr>
          </w:p>
        </w:tc>
      </w:tr>
      <w:tr w14:paraId="75F72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1023" w:type="dxa"/>
            <w:noWrap w:val="0"/>
            <w:vAlign w:val="center"/>
          </w:tcPr>
          <w:p w14:paraId="337B1BFF">
            <w:pPr>
              <w:spacing w:line="360" w:lineRule="auto"/>
              <w:jc w:val="center"/>
              <w:rPr>
                <w:rFonts w:hint="eastAsia" w:ascii="宋体" w:hAnsi="宋体" w:eastAsia="宋体" w:cs="宋体"/>
                <w:color w:val="auto"/>
                <w:sz w:val="28"/>
              </w:rPr>
            </w:pPr>
          </w:p>
        </w:tc>
        <w:tc>
          <w:tcPr>
            <w:tcW w:w="2464" w:type="dxa"/>
            <w:noWrap w:val="0"/>
            <w:vAlign w:val="center"/>
          </w:tcPr>
          <w:p w14:paraId="7A6160F8">
            <w:pPr>
              <w:spacing w:line="360" w:lineRule="auto"/>
              <w:jc w:val="center"/>
              <w:rPr>
                <w:rFonts w:hint="eastAsia" w:ascii="宋体" w:hAnsi="宋体" w:eastAsia="宋体" w:cs="宋体"/>
                <w:color w:val="auto"/>
                <w:sz w:val="28"/>
              </w:rPr>
            </w:pPr>
          </w:p>
        </w:tc>
        <w:tc>
          <w:tcPr>
            <w:tcW w:w="2155" w:type="dxa"/>
            <w:noWrap w:val="0"/>
            <w:vAlign w:val="center"/>
          </w:tcPr>
          <w:p w14:paraId="7019A664">
            <w:pPr>
              <w:spacing w:line="360" w:lineRule="auto"/>
              <w:jc w:val="center"/>
              <w:rPr>
                <w:rFonts w:hint="eastAsia" w:ascii="宋体" w:hAnsi="宋体" w:eastAsia="宋体" w:cs="宋体"/>
                <w:color w:val="auto"/>
                <w:sz w:val="28"/>
              </w:rPr>
            </w:pPr>
          </w:p>
        </w:tc>
        <w:tc>
          <w:tcPr>
            <w:tcW w:w="1372" w:type="dxa"/>
            <w:noWrap w:val="0"/>
            <w:vAlign w:val="center"/>
          </w:tcPr>
          <w:p w14:paraId="44318861">
            <w:pPr>
              <w:spacing w:line="360" w:lineRule="auto"/>
              <w:jc w:val="center"/>
              <w:rPr>
                <w:rFonts w:hint="eastAsia" w:ascii="宋体" w:hAnsi="宋体" w:eastAsia="宋体" w:cs="宋体"/>
                <w:color w:val="auto"/>
                <w:sz w:val="28"/>
              </w:rPr>
            </w:pPr>
          </w:p>
        </w:tc>
        <w:tc>
          <w:tcPr>
            <w:tcW w:w="2443" w:type="dxa"/>
            <w:noWrap w:val="0"/>
            <w:vAlign w:val="center"/>
          </w:tcPr>
          <w:p w14:paraId="10AD8433">
            <w:pPr>
              <w:spacing w:line="360" w:lineRule="auto"/>
              <w:jc w:val="center"/>
              <w:rPr>
                <w:rFonts w:hint="eastAsia" w:ascii="宋体" w:hAnsi="宋体" w:eastAsia="宋体" w:cs="宋体"/>
                <w:color w:val="auto"/>
                <w:sz w:val="28"/>
              </w:rPr>
            </w:pPr>
          </w:p>
        </w:tc>
      </w:tr>
    </w:tbl>
    <w:p w14:paraId="15E2243D">
      <w:pPr>
        <w:spacing w:line="360" w:lineRule="auto"/>
        <w:rPr>
          <w:rFonts w:hint="eastAsia" w:ascii="宋体" w:hAnsi="宋体" w:eastAsia="宋体" w:cs="宋体"/>
          <w:b/>
          <w:color w:val="auto"/>
          <w:sz w:val="28"/>
          <w:szCs w:val="30"/>
        </w:rPr>
      </w:pPr>
    </w:p>
    <w:p w14:paraId="7DA347AE">
      <w:pPr>
        <w:spacing w:line="360" w:lineRule="auto"/>
        <w:rPr>
          <w:rFonts w:hint="eastAsia" w:ascii="宋体" w:hAnsi="宋体" w:eastAsia="宋体" w:cs="宋体"/>
          <w:color w:val="auto"/>
          <w:sz w:val="24"/>
        </w:rPr>
      </w:pPr>
      <w:r>
        <w:rPr>
          <w:rFonts w:hint="eastAsia" w:ascii="宋体" w:hAnsi="宋体" w:eastAsia="宋体" w:cs="宋体"/>
          <w:color w:val="auto"/>
          <w:sz w:val="24"/>
        </w:rPr>
        <w:t>供应商公章：</w:t>
      </w:r>
      <w:r>
        <w:rPr>
          <w:rFonts w:hint="eastAsia" w:ascii="宋体" w:hAnsi="宋体" w:eastAsia="宋体" w:cs="宋体"/>
          <w:color w:val="auto"/>
          <w:sz w:val="24"/>
          <w:u w:val="single"/>
        </w:rPr>
        <w:t xml:space="preserve">            </w:t>
      </w:r>
    </w:p>
    <w:p w14:paraId="5A914828">
      <w:pPr>
        <w:spacing w:line="360" w:lineRule="auto"/>
        <w:rPr>
          <w:rFonts w:hint="eastAsia" w:ascii="宋体" w:hAnsi="宋体" w:eastAsia="宋体" w:cs="宋体"/>
          <w:color w:val="auto"/>
          <w:sz w:val="24"/>
          <w:u w:val="single"/>
        </w:rPr>
      </w:pPr>
      <w:r>
        <w:rPr>
          <w:rFonts w:hint="eastAsia" w:ascii="宋体" w:hAnsi="宋体" w:eastAsia="宋体" w:cs="宋体"/>
          <w:color w:val="auto"/>
          <w:sz w:val="24"/>
        </w:rPr>
        <w:t>法定代表人或授权委托人签字或盖章：</w:t>
      </w:r>
      <w:r>
        <w:rPr>
          <w:rFonts w:hint="eastAsia" w:ascii="宋体" w:hAnsi="宋体" w:eastAsia="宋体" w:cs="宋体"/>
          <w:color w:val="auto"/>
          <w:sz w:val="24"/>
          <w:u w:val="single"/>
        </w:rPr>
        <w:t xml:space="preserve">            </w:t>
      </w:r>
    </w:p>
    <w:p w14:paraId="20A36390">
      <w:pPr>
        <w:spacing w:line="360" w:lineRule="auto"/>
        <w:rPr>
          <w:rFonts w:hint="eastAsia" w:ascii="宋体" w:hAnsi="宋体" w:eastAsia="宋体" w:cs="宋体"/>
          <w:color w:val="auto"/>
          <w:sz w:val="24"/>
        </w:rPr>
      </w:pPr>
      <w:r>
        <w:rPr>
          <w:rFonts w:hint="eastAsia" w:ascii="宋体" w:hAnsi="宋体" w:eastAsia="宋体" w:cs="宋体"/>
          <w:color w:val="auto"/>
          <w:sz w:val="24"/>
        </w:rPr>
        <w:t>日期：  年  月  日</w:t>
      </w:r>
    </w:p>
    <w:p w14:paraId="59BC5A60">
      <w:pPr>
        <w:pStyle w:val="66"/>
        <w:spacing w:line="360" w:lineRule="auto"/>
        <w:rPr>
          <w:rFonts w:hint="eastAsia" w:ascii="宋体" w:hAnsi="宋体" w:eastAsia="宋体" w:cs="宋体"/>
          <w:b/>
          <w:color w:val="auto"/>
          <w:sz w:val="28"/>
          <w:szCs w:val="30"/>
        </w:rPr>
      </w:pPr>
    </w:p>
    <w:p w14:paraId="631F1B64">
      <w:pPr>
        <w:pStyle w:val="66"/>
        <w:spacing w:line="360" w:lineRule="auto"/>
        <w:rPr>
          <w:rFonts w:hint="eastAsia" w:ascii="宋体" w:hAnsi="宋体" w:eastAsia="宋体" w:cs="宋体"/>
          <w:b/>
          <w:color w:val="auto"/>
          <w:sz w:val="28"/>
          <w:szCs w:val="30"/>
        </w:rPr>
      </w:pPr>
    </w:p>
    <w:p w14:paraId="0BAADEA3">
      <w:pPr>
        <w:pStyle w:val="66"/>
        <w:spacing w:line="360" w:lineRule="auto"/>
        <w:rPr>
          <w:rFonts w:hint="eastAsia" w:ascii="宋体" w:hAnsi="宋体" w:eastAsia="宋体" w:cs="宋体"/>
          <w:b/>
          <w:color w:val="auto"/>
          <w:sz w:val="28"/>
          <w:szCs w:val="30"/>
        </w:rPr>
      </w:pPr>
    </w:p>
    <w:p w14:paraId="15D64CB6">
      <w:pPr>
        <w:pStyle w:val="66"/>
        <w:spacing w:line="360" w:lineRule="auto"/>
        <w:rPr>
          <w:rFonts w:hint="eastAsia" w:ascii="宋体" w:hAnsi="宋体" w:eastAsia="宋体" w:cs="宋体"/>
          <w:b/>
          <w:color w:val="auto"/>
          <w:sz w:val="28"/>
          <w:szCs w:val="30"/>
        </w:rPr>
      </w:pPr>
    </w:p>
    <w:p w14:paraId="5183180A">
      <w:pPr>
        <w:pStyle w:val="66"/>
        <w:spacing w:line="360" w:lineRule="auto"/>
        <w:rPr>
          <w:rFonts w:hint="eastAsia" w:ascii="宋体" w:hAnsi="宋体" w:eastAsia="宋体" w:cs="宋体"/>
          <w:b/>
          <w:color w:val="auto"/>
          <w:sz w:val="28"/>
          <w:szCs w:val="30"/>
        </w:rPr>
      </w:pPr>
    </w:p>
    <w:p w14:paraId="0174CDC4">
      <w:pPr>
        <w:rPr>
          <w:rFonts w:hint="eastAsia" w:ascii="宋体" w:hAnsi="宋体" w:eastAsia="宋体" w:cs="宋体"/>
          <w:b/>
          <w:bCs/>
          <w:color w:val="auto"/>
          <w:sz w:val="28"/>
        </w:rPr>
      </w:pPr>
      <w:bookmarkStart w:id="754" w:name="_Toc13885"/>
      <w:bookmarkStart w:id="755" w:name="_Toc24229"/>
      <w:bookmarkStart w:id="756" w:name="_Toc15270"/>
      <w:bookmarkStart w:id="757" w:name="_Toc860"/>
      <w:bookmarkStart w:id="758" w:name="_Toc7264"/>
      <w:bookmarkStart w:id="759" w:name="_Toc12695"/>
      <w:bookmarkStart w:id="760" w:name="_Toc21128"/>
      <w:r>
        <w:rPr>
          <w:rFonts w:hint="eastAsia" w:ascii="宋体" w:hAnsi="宋体" w:eastAsia="宋体" w:cs="宋体"/>
          <w:b/>
          <w:bCs/>
          <w:color w:val="auto"/>
          <w:sz w:val="28"/>
        </w:rPr>
        <w:br w:type="page"/>
      </w:r>
    </w:p>
    <w:p w14:paraId="4C7B1437">
      <w:pPr>
        <w:spacing w:line="360" w:lineRule="auto"/>
        <w:jc w:val="center"/>
        <w:outlineLvl w:val="1"/>
        <w:rPr>
          <w:rFonts w:hint="eastAsia" w:ascii="宋体" w:hAnsi="宋体" w:eastAsia="宋体" w:cs="宋体"/>
          <w:b/>
          <w:bCs/>
          <w:color w:val="auto"/>
          <w:sz w:val="28"/>
        </w:rPr>
      </w:pPr>
      <w:r>
        <w:rPr>
          <w:rFonts w:hint="eastAsia" w:ascii="宋体" w:hAnsi="宋体" w:eastAsia="宋体" w:cs="宋体"/>
          <w:b/>
          <w:bCs/>
          <w:color w:val="auto"/>
          <w:sz w:val="28"/>
        </w:rPr>
        <w:t>其它材料</w:t>
      </w:r>
      <w:bookmarkEnd w:id="754"/>
      <w:bookmarkEnd w:id="755"/>
      <w:bookmarkEnd w:id="756"/>
      <w:bookmarkEnd w:id="757"/>
      <w:bookmarkEnd w:id="758"/>
      <w:bookmarkEnd w:id="759"/>
      <w:bookmarkEnd w:id="760"/>
    </w:p>
    <w:p w14:paraId="6B9D4E4F">
      <w:pPr>
        <w:spacing w:line="360" w:lineRule="auto"/>
        <w:ind w:firstLine="420"/>
        <w:rPr>
          <w:rFonts w:hint="eastAsia" w:ascii="宋体" w:hAnsi="宋体" w:eastAsia="宋体" w:cs="宋体"/>
          <w:color w:val="auto"/>
          <w:sz w:val="28"/>
        </w:rPr>
      </w:pPr>
    </w:p>
    <w:p w14:paraId="5E727469">
      <w:pPr>
        <w:spacing w:line="360" w:lineRule="auto"/>
        <w:jc w:val="center"/>
        <w:rPr>
          <w:rFonts w:hint="eastAsia" w:ascii="宋体" w:hAnsi="宋体" w:eastAsia="宋体" w:cs="宋体"/>
          <w:color w:val="auto"/>
          <w:sz w:val="24"/>
        </w:rPr>
      </w:pPr>
      <w:bookmarkStart w:id="761" w:name="_Toc10037"/>
      <w:bookmarkStart w:id="762" w:name="_Toc11517_WPSOffice_Level1"/>
      <w:bookmarkStart w:id="763" w:name="_Toc15866"/>
      <w:bookmarkStart w:id="764" w:name="_Toc4695"/>
      <w:r>
        <w:rPr>
          <w:rFonts w:hint="eastAsia" w:ascii="宋体" w:hAnsi="宋体" w:eastAsia="宋体" w:cs="宋体"/>
          <w:color w:val="auto"/>
          <w:sz w:val="24"/>
        </w:rPr>
        <w:t>供应商认为有必要提供的材料或评分标准中需要提供的材料。</w:t>
      </w:r>
      <w:bookmarkEnd w:id="761"/>
      <w:bookmarkEnd w:id="762"/>
      <w:bookmarkEnd w:id="763"/>
      <w:bookmarkEnd w:id="764"/>
    </w:p>
    <w:p w14:paraId="3CEAFEB2">
      <w:pPr>
        <w:spacing w:line="360" w:lineRule="auto"/>
        <w:jc w:val="center"/>
        <w:rPr>
          <w:rFonts w:hint="eastAsia" w:ascii="宋体" w:hAnsi="宋体" w:eastAsia="宋体" w:cs="宋体"/>
          <w:color w:val="auto"/>
          <w:sz w:val="24"/>
        </w:rPr>
      </w:pPr>
    </w:p>
    <w:p w14:paraId="2A0FB677">
      <w:pPr>
        <w:spacing w:line="360" w:lineRule="auto"/>
        <w:jc w:val="center"/>
        <w:rPr>
          <w:rFonts w:hint="eastAsia" w:ascii="宋体" w:hAnsi="宋体" w:eastAsia="宋体" w:cs="宋体"/>
          <w:color w:val="auto"/>
          <w:sz w:val="24"/>
        </w:rPr>
      </w:pPr>
    </w:p>
    <w:p w14:paraId="7062B6A0">
      <w:pPr>
        <w:spacing w:line="360" w:lineRule="auto"/>
        <w:jc w:val="center"/>
        <w:rPr>
          <w:rFonts w:hint="eastAsia" w:ascii="宋体" w:hAnsi="宋体" w:eastAsia="宋体" w:cs="宋体"/>
          <w:color w:val="auto"/>
          <w:sz w:val="24"/>
        </w:rPr>
      </w:pPr>
    </w:p>
    <w:p w14:paraId="68FF9CC4">
      <w:pPr>
        <w:spacing w:line="360" w:lineRule="auto"/>
        <w:jc w:val="center"/>
        <w:rPr>
          <w:rFonts w:hint="eastAsia" w:ascii="宋体" w:hAnsi="宋体" w:eastAsia="宋体" w:cs="宋体"/>
          <w:color w:val="auto"/>
          <w:sz w:val="24"/>
        </w:rPr>
      </w:pPr>
    </w:p>
    <w:p w14:paraId="6F1D3E9E">
      <w:pPr>
        <w:spacing w:line="360" w:lineRule="auto"/>
        <w:jc w:val="center"/>
        <w:rPr>
          <w:rFonts w:hint="eastAsia" w:ascii="宋体" w:hAnsi="宋体" w:eastAsia="宋体" w:cs="宋体"/>
          <w:color w:val="auto"/>
          <w:sz w:val="24"/>
        </w:rPr>
      </w:pPr>
    </w:p>
    <w:p w14:paraId="2D5D5EEB">
      <w:pPr>
        <w:spacing w:line="360" w:lineRule="auto"/>
        <w:jc w:val="center"/>
        <w:rPr>
          <w:rFonts w:hint="eastAsia" w:ascii="宋体" w:hAnsi="宋体" w:eastAsia="宋体" w:cs="宋体"/>
          <w:color w:val="auto"/>
          <w:sz w:val="24"/>
        </w:rPr>
      </w:pPr>
    </w:p>
    <w:p w14:paraId="4F737F0F">
      <w:pPr>
        <w:spacing w:line="360" w:lineRule="auto"/>
        <w:jc w:val="center"/>
        <w:rPr>
          <w:rFonts w:hint="eastAsia" w:ascii="宋体" w:hAnsi="宋体" w:eastAsia="宋体" w:cs="宋体"/>
          <w:color w:val="auto"/>
          <w:sz w:val="24"/>
        </w:rPr>
      </w:pPr>
    </w:p>
    <w:p w14:paraId="114E16C1">
      <w:pPr>
        <w:spacing w:line="360" w:lineRule="auto"/>
        <w:jc w:val="center"/>
        <w:rPr>
          <w:rFonts w:hint="eastAsia" w:ascii="宋体" w:hAnsi="宋体" w:eastAsia="宋体" w:cs="宋体"/>
          <w:color w:val="auto"/>
          <w:sz w:val="24"/>
        </w:rPr>
      </w:pPr>
    </w:p>
    <w:p w14:paraId="16F384EC">
      <w:pPr>
        <w:spacing w:line="360" w:lineRule="auto"/>
        <w:jc w:val="center"/>
        <w:rPr>
          <w:rFonts w:hint="eastAsia" w:ascii="宋体" w:hAnsi="宋体" w:eastAsia="宋体" w:cs="宋体"/>
          <w:color w:val="auto"/>
          <w:sz w:val="24"/>
        </w:rPr>
      </w:pPr>
    </w:p>
    <w:p w14:paraId="6407DDC2">
      <w:pPr>
        <w:spacing w:line="360" w:lineRule="auto"/>
        <w:jc w:val="center"/>
        <w:rPr>
          <w:rFonts w:hint="eastAsia" w:ascii="宋体" w:hAnsi="宋体" w:eastAsia="宋体" w:cs="宋体"/>
          <w:color w:val="auto"/>
          <w:sz w:val="24"/>
        </w:rPr>
      </w:pPr>
    </w:p>
    <w:p w14:paraId="5C9B2589">
      <w:pPr>
        <w:spacing w:line="360" w:lineRule="auto"/>
        <w:jc w:val="center"/>
        <w:rPr>
          <w:rFonts w:hint="eastAsia" w:ascii="宋体" w:hAnsi="宋体" w:eastAsia="宋体" w:cs="宋体"/>
          <w:color w:val="auto"/>
          <w:sz w:val="24"/>
        </w:rPr>
      </w:pPr>
    </w:p>
    <w:p w14:paraId="68CA32BE">
      <w:pPr>
        <w:spacing w:line="360" w:lineRule="auto"/>
        <w:jc w:val="center"/>
        <w:rPr>
          <w:rFonts w:hint="eastAsia" w:ascii="宋体" w:hAnsi="宋体" w:eastAsia="宋体" w:cs="宋体"/>
          <w:color w:val="auto"/>
          <w:sz w:val="24"/>
        </w:rPr>
      </w:pPr>
    </w:p>
    <w:p w14:paraId="3FEE2836">
      <w:pPr>
        <w:spacing w:line="360" w:lineRule="auto"/>
        <w:jc w:val="center"/>
        <w:rPr>
          <w:rFonts w:hint="eastAsia" w:ascii="宋体" w:hAnsi="宋体" w:eastAsia="宋体" w:cs="宋体"/>
          <w:color w:val="auto"/>
          <w:sz w:val="24"/>
        </w:rPr>
      </w:pPr>
    </w:p>
    <w:p w14:paraId="74CEFDC8">
      <w:pPr>
        <w:spacing w:line="360" w:lineRule="auto"/>
        <w:jc w:val="center"/>
        <w:rPr>
          <w:rFonts w:hint="eastAsia" w:ascii="宋体" w:hAnsi="宋体" w:eastAsia="宋体" w:cs="宋体"/>
          <w:color w:val="auto"/>
          <w:sz w:val="24"/>
        </w:rPr>
      </w:pPr>
    </w:p>
    <w:p w14:paraId="33F8D61D">
      <w:pPr>
        <w:spacing w:line="360" w:lineRule="auto"/>
        <w:jc w:val="center"/>
        <w:rPr>
          <w:rFonts w:hint="eastAsia" w:ascii="宋体" w:hAnsi="宋体" w:eastAsia="宋体" w:cs="宋体"/>
          <w:color w:val="auto"/>
          <w:sz w:val="24"/>
        </w:rPr>
      </w:pPr>
    </w:p>
    <w:p w14:paraId="2A072E5E">
      <w:pPr>
        <w:spacing w:line="360" w:lineRule="auto"/>
        <w:jc w:val="center"/>
        <w:rPr>
          <w:rFonts w:hint="eastAsia" w:ascii="宋体" w:hAnsi="宋体" w:eastAsia="宋体" w:cs="宋体"/>
          <w:color w:val="auto"/>
          <w:sz w:val="24"/>
        </w:rPr>
      </w:pPr>
    </w:p>
    <w:p w14:paraId="1DCC826E">
      <w:pPr>
        <w:spacing w:line="360" w:lineRule="auto"/>
        <w:jc w:val="center"/>
        <w:rPr>
          <w:rFonts w:hint="eastAsia" w:ascii="宋体" w:hAnsi="宋体" w:eastAsia="宋体" w:cs="宋体"/>
          <w:color w:val="auto"/>
          <w:sz w:val="24"/>
        </w:rPr>
      </w:pPr>
    </w:p>
    <w:p w14:paraId="2B2C0EC3">
      <w:pPr>
        <w:spacing w:line="360" w:lineRule="auto"/>
        <w:jc w:val="center"/>
        <w:rPr>
          <w:rFonts w:hint="eastAsia" w:ascii="宋体" w:hAnsi="宋体" w:eastAsia="宋体" w:cs="宋体"/>
          <w:color w:val="auto"/>
          <w:sz w:val="24"/>
        </w:rPr>
      </w:pPr>
    </w:p>
    <w:p w14:paraId="29F7D13B">
      <w:pPr>
        <w:spacing w:line="360" w:lineRule="auto"/>
        <w:jc w:val="center"/>
        <w:rPr>
          <w:rFonts w:hint="eastAsia" w:ascii="宋体" w:hAnsi="宋体" w:eastAsia="宋体" w:cs="宋体"/>
          <w:color w:val="auto"/>
          <w:sz w:val="24"/>
        </w:rPr>
      </w:pPr>
    </w:p>
    <w:p w14:paraId="3884F93B">
      <w:pPr>
        <w:spacing w:line="360" w:lineRule="auto"/>
        <w:jc w:val="center"/>
        <w:rPr>
          <w:rFonts w:hint="eastAsia" w:ascii="宋体" w:hAnsi="宋体" w:eastAsia="宋体" w:cs="宋体"/>
          <w:color w:val="auto"/>
          <w:sz w:val="24"/>
        </w:rPr>
      </w:pPr>
    </w:p>
    <w:p w14:paraId="25462B47">
      <w:pPr>
        <w:spacing w:line="360" w:lineRule="auto"/>
        <w:jc w:val="center"/>
        <w:rPr>
          <w:rFonts w:hint="eastAsia" w:ascii="宋体" w:hAnsi="宋体" w:eastAsia="宋体" w:cs="宋体"/>
          <w:color w:val="auto"/>
          <w:sz w:val="24"/>
        </w:rPr>
      </w:pPr>
    </w:p>
    <w:p w14:paraId="4CACF283">
      <w:pPr>
        <w:spacing w:line="360" w:lineRule="auto"/>
        <w:jc w:val="center"/>
        <w:rPr>
          <w:rFonts w:hint="eastAsia" w:ascii="宋体" w:hAnsi="宋体" w:eastAsia="宋体" w:cs="宋体"/>
          <w:color w:val="auto"/>
          <w:sz w:val="24"/>
        </w:rPr>
      </w:pPr>
    </w:p>
    <w:p w14:paraId="5ADB1843">
      <w:pPr>
        <w:spacing w:line="360" w:lineRule="auto"/>
        <w:jc w:val="center"/>
        <w:rPr>
          <w:rFonts w:hint="eastAsia" w:ascii="宋体" w:hAnsi="宋体" w:eastAsia="宋体" w:cs="宋体"/>
          <w:color w:val="auto"/>
          <w:sz w:val="24"/>
        </w:rPr>
      </w:pPr>
    </w:p>
    <w:p w14:paraId="6B1B22D3">
      <w:pPr>
        <w:spacing w:line="360" w:lineRule="auto"/>
        <w:jc w:val="center"/>
        <w:rPr>
          <w:rFonts w:hint="eastAsia" w:ascii="宋体" w:hAnsi="宋体" w:eastAsia="宋体" w:cs="宋体"/>
          <w:color w:val="auto"/>
          <w:sz w:val="24"/>
        </w:rPr>
      </w:pPr>
    </w:p>
    <w:p w14:paraId="0FC0B67C">
      <w:pPr>
        <w:spacing w:line="360" w:lineRule="auto"/>
        <w:jc w:val="center"/>
        <w:rPr>
          <w:rFonts w:hint="eastAsia" w:ascii="宋体" w:hAnsi="宋体" w:eastAsia="宋体" w:cs="宋体"/>
          <w:color w:val="auto"/>
          <w:sz w:val="24"/>
        </w:rPr>
      </w:pPr>
    </w:p>
    <w:p w14:paraId="33971807">
      <w:pPr>
        <w:spacing w:line="360" w:lineRule="auto"/>
        <w:jc w:val="center"/>
        <w:rPr>
          <w:rFonts w:hint="eastAsia" w:ascii="宋体" w:hAnsi="宋体" w:eastAsia="宋体" w:cs="宋体"/>
          <w:color w:val="auto"/>
          <w:sz w:val="24"/>
        </w:rPr>
      </w:pPr>
    </w:p>
    <w:p w14:paraId="77AD66EF">
      <w:pPr>
        <w:spacing w:line="360" w:lineRule="auto"/>
        <w:jc w:val="center"/>
        <w:rPr>
          <w:rFonts w:hint="eastAsia" w:ascii="宋体" w:hAnsi="宋体" w:eastAsia="宋体" w:cs="宋体"/>
          <w:color w:val="auto"/>
          <w:sz w:val="24"/>
        </w:rPr>
      </w:pPr>
    </w:p>
    <w:p w14:paraId="6AFB4EB8">
      <w:pPr>
        <w:jc w:val="center"/>
        <w:rPr>
          <w:rFonts w:hint="eastAsia" w:ascii="宋体" w:hAnsi="宋体" w:cs="仿宋"/>
          <w:b/>
          <w:bCs/>
          <w:iCs/>
          <w:color w:val="auto"/>
          <w:sz w:val="32"/>
          <w:szCs w:val="32"/>
        </w:rPr>
      </w:pPr>
      <w:r>
        <w:rPr>
          <w:rFonts w:hint="eastAsia" w:ascii="宋体" w:hAnsi="宋体" w:cs="仿宋"/>
          <w:b/>
          <w:bCs/>
          <w:iCs/>
          <w:color w:val="auto"/>
          <w:sz w:val="32"/>
          <w:szCs w:val="32"/>
        </w:rPr>
        <w:t>质疑函范本</w:t>
      </w:r>
    </w:p>
    <w:p w14:paraId="711D4DDC">
      <w:pPr>
        <w:spacing w:line="312" w:lineRule="auto"/>
        <w:ind w:firstLine="0"/>
        <w:rPr>
          <w:rFonts w:hint="eastAsia" w:ascii="宋体" w:hAnsi="宋体" w:cs="仿宋"/>
          <w:bCs/>
          <w:iCs/>
          <w:color w:val="auto"/>
          <w:sz w:val="24"/>
          <w:szCs w:val="24"/>
        </w:rPr>
      </w:pPr>
      <w:r>
        <w:rPr>
          <w:rFonts w:hint="eastAsia" w:ascii="宋体" w:hAnsi="宋体" w:cs="仿宋"/>
          <w:bCs/>
          <w:iCs/>
          <w:color w:val="auto"/>
          <w:sz w:val="24"/>
          <w:szCs w:val="24"/>
        </w:rPr>
        <w:t>一、质疑供应商基本信息</w:t>
      </w:r>
    </w:p>
    <w:p w14:paraId="6959D2E1">
      <w:pPr>
        <w:spacing w:line="312" w:lineRule="auto"/>
        <w:ind w:firstLine="0"/>
        <w:rPr>
          <w:rFonts w:hint="eastAsia" w:ascii="宋体" w:hAnsi="宋体" w:cs="仿宋"/>
          <w:iCs/>
          <w:color w:val="auto"/>
          <w:sz w:val="24"/>
          <w:szCs w:val="24"/>
          <w:u w:val="single"/>
        </w:rPr>
      </w:pPr>
      <w:r>
        <w:rPr>
          <w:rFonts w:hint="eastAsia" w:ascii="宋体" w:hAnsi="宋体" w:cs="仿宋"/>
          <w:iCs/>
          <w:color w:val="auto"/>
          <w:sz w:val="24"/>
          <w:szCs w:val="24"/>
        </w:rPr>
        <w:t>质疑供应商：</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p>
    <w:p w14:paraId="02A92479">
      <w:pPr>
        <w:spacing w:line="312" w:lineRule="auto"/>
        <w:ind w:firstLine="0"/>
        <w:rPr>
          <w:rFonts w:hint="eastAsia" w:ascii="宋体" w:hAnsi="宋体" w:cs="仿宋"/>
          <w:iCs/>
          <w:color w:val="auto"/>
          <w:sz w:val="24"/>
          <w:szCs w:val="24"/>
        </w:rPr>
      </w:pPr>
      <w:r>
        <w:rPr>
          <w:rFonts w:hint="eastAsia" w:ascii="宋体" w:hAnsi="宋体" w:cs="仿宋"/>
          <w:iCs/>
          <w:color w:val="auto"/>
          <w:sz w:val="24"/>
          <w:szCs w:val="24"/>
        </w:rPr>
        <w:t>地址：</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邮编：</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p>
    <w:p w14:paraId="100D83C4">
      <w:pPr>
        <w:spacing w:line="312" w:lineRule="auto"/>
        <w:ind w:firstLine="0"/>
        <w:rPr>
          <w:rFonts w:hint="eastAsia" w:ascii="宋体" w:hAnsi="宋体" w:cs="仿宋"/>
          <w:iCs/>
          <w:color w:val="auto"/>
          <w:sz w:val="24"/>
          <w:szCs w:val="24"/>
        </w:rPr>
      </w:pPr>
      <w:r>
        <w:rPr>
          <w:rFonts w:hint="eastAsia" w:ascii="宋体" w:hAnsi="宋体" w:cs="仿宋"/>
          <w:iCs/>
          <w:color w:val="auto"/>
          <w:sz w:val="24"/>
          <w:szCs w:val="24"/>
        </w:rPr>
        <w:t>联系人：</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联系电话：</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p>
    <w:p w14:paraId="66FBBC3C">
      <w:pPr>
        <w:spacing w:line="312" w:lineRule="auto"/>
        <w:ind w:firstLine="0"/>
        <w:rPr>
          <w:rFonts w:hint="eastAsia" w:ascii="宋体" w:hAnsi="宋体" w:cs="仿宋"/>
          <w:iCs/>
          <w:color w:val="auto"/>
          <w:sz w:val="24"/>
          <w:szCs w:val="24"/>
          <w:u w:val="single"/>
        </w:rPr>
      </w:pPr>
      <w:r>
        <w:rPr>
          <w:rFonts w:hint="eastAsia" w:ascii="宋体" w:hAnsi="宋体" w:cs="仿宋"/>
          <w:iCs/>
          <w:color w:val="auto"/>
          <w:sz w:val="24"/>
          <w:szCs w:val="24"/>
        </w:rPr>
        <w:t>授权代表：</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p>
    <w:p w14:paraId="72B7DDFA">
      <w:pPr>
        <w:spacing w:line="312" w:lineRule="auto"/>
        <w:ind w:firstLine="0"/>
        <w:rPr>
          <w:rFonts w:hint="eastAsia" w:ascii="宋体" w:hAnsi="宋体" w:cs="仿宋"/>
          <w:iCs/>
          <w:color w:val="auto"/>
          <w:sz w:val="24"/>
          <w:szCs w:val="24"/>
        </w:rPr>
      </w:pPr>
      <w:r>
        <w:rPr>
          <w:rFonts w:hint="eastAsia" w:ascii="宋体" w:hAnsi="宋体" w:cs="仿宋"/>
          <w:iCs/>
          <w:color w:val="auto"/>
          <w:sz w:val="24"/>
          <w:szCs w:val="24"/>
        </w:rPr>
        <w:t>联系电话：</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single"/>
          <w:lang w:val="en-US" w:eastAsia="zh-CN"/>
        </w:rPr>
        <w:t xml:space="preserve"> </w:t>
      </w:r>
      <w:r>
        <w:rPr>
          <w:rFonts w:hint="eastAsia" w:ascii="宋体" w:hAnsi="宋体" w:cs="仿宋"/>
          <w:iCs/>
          <w:color w:val="auto"/>
          <w:sz w:val="24"/>
          <w:szCs w:val="24"/>
          <w:u w:val="single"/>
        </w:rPr>
        <w:t xml:space="preserve">       </w:t>
      </w:r>
    </w:p>
    <w:p w14:paraId="60A8E33D">
      <w:pPr>
        <w:spacing w:line="312" w:lineRule="auto"/>
        <w:ind w:firstLine="0"/>
        <w:rPr>
          <w:rFonts w:hint="eastAsia" w:ascii="宋体" w:hAnsi="宋体" w:cs="仿宋"/>
          <w:iCs/>
          <w:color w:val="auto"/>
          <w:sz w:val="24"/>
          <w:szCs w:val="24"/>
        </w:rPr>
      </w:pPr>
      <w:r>
        <w:rPr>
          <w:rFonts w:hint="eastAsia" w:ascii="宋体" w:hAnsi="宋体" w:cs="仿宋"/>
          <w:iCs/>
          <w:color w:val="auto"/>
          <w:sz w:val="24"/>
          <w:szCs w:val="24"/>
        </w:rPr>
        <w:t>地址：</w:t>
      </w:r>
      <w:r>
        <w:rPr>
          <w:rFonts w:ascii="宋体" w:hAnsi="宋体" w:cs="仿宋"/>
          <w:iCs/>
          <w:color w:val="auto"/>
          <w:sz w:val="24"/>
          <w:szCs w:val="24"/>
        </w:rPr>
        <w:t xml:space="preserve"> </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邮编：</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single"/>
          <w:lang w:val="en-US" w:eastAsia="zh-CN"/>
        </w:rPr>
        <w:t xml:space="preserve"> </w:t>
      </w:r>
      <w:r>
        <w:rPr>
          <w:rFonts w:hint="eastAsia" w:ascii="宋体" w:hAnsi="宋体" w:cs="仿宋"/>
          <w:iCs/>
          <w:color w:val="auto"/>
          <w:sz w:val="24"/>
          <w:szCs w:val="24"/>
          <w:u w:val="single"/>
        </w:rPr>
        <w:t xml:space="preserve">    </w:t>
      </w:r>
    </w:p>
    <w:p w14:paraId="0F4EFC76">
      <w:pPr>
        <w:spacing w:line="312" w:lineRule="auto"/>
        <w:ind w:firstLine="0"/>
        <w:rPr>
          <w:rFonts w:hint="eastAsia" w:ascii="宋体" w:hAnsi="宋体" w:cs="仿宋"/>
          <w:bCs/>
          <w:iCs/>
          <w:color w:val="auto"/>
          <w:sz w:val="24"/>
          <w:szCs w:val="24"/>
        </w:rPr>
      </w:pPr>
      <w:r>
        <w:rPr>
          <w:rFonts w:hint="eastAsia" w:ascii="宋体" w:hAnsi="宋体" w:cs="仿宋"/>
          <w:bCs/>
          <w:iCs/>
          <w:color w:val="auto"/>
          <w:sz w:val="24"/>
          <w:szCs w:val="24"/>
        </w:rPr>
        <w:t>二、质疑项目基本情况</w:t>
      </w:r>
    </w:p>
    <w:p w14:paraId="086769D4">
      <w:pPr>
        <w:spacing w:line="312" w:lineRule="auto"/>
        <w:ind w:firstLine="0"/>
        <w:rPr>
          <w:rFonts w:hint="eastAsia" w:ascii="宋体" w:hAnsi="宋体" w:cs="仿宋"/>
          <w:iCs/>
          <w:color w:val="auto"/>
          <w:sz w:val="24"/>
          <w:szCs w:val="24"/>
        </w:rPr>
      </w:pPr>
      <w:r>
        <w:rPr>
          <w:rFonts w:hint="eastAsia" w:ascii="宋体" w:hAnsi="宋体" w:cs="仿宋"/>
          <w:iCs/>
          <w:color w:val="auto"/>
          <w:sz w:val="24"/>
          <w:szCs w:val="24"/>
        </w:rPr>
        <w:t>质疑项目的名称：</w:t>
      </w:r>
      <w:r>
        <w:rPr>
          <w:rFonts w:hint="eastAsia" w:ascii="宋体" w:hAnsi="宋体" w:cs="仿宋"/>
          <w:iCs/>
          <w:color w:val="auto"/>
          <w:sz w:val="24"/>
          <w:szCs w:val="24"/>
          <w:u w:val="single"/>
        </w:rPr>
        <w:t xml:space="preserve">                                                        </w:t>
      </w:r>
    </w:p>
    <w:p w14:paraId="2AC080B0">
      <w:pPr>
        <w:spacing w:line="312" w:lineRule="auto"/>
        <w:ind w:firstLine="0"/>
        <w:rPr>
          <w:rFonts w:hint="eastAsia" w:ascii="宋体" w:hAnsi="宋体" w:cs="仿宋"/>
          <w:iCs/>
          <w:color w:val="auto"/>
          <w:sz w:val="24"/>
          <w:szCs w:val="24"/>
        </w:rPr>
      </w:pPr>
      <w:r>
        <w:rPr>
          <w:rFonts w:hint="eastAsia" w:ascii="宋体" w:hAnsi="宋体" w:cs="仿宋"/>
          <w:iCs/>
          <w:color w:val="auto"/>
          <w:sz w:val="24"/>
          <w:szCs w:val="24"/>
        </w:rPr>
        <w:t>质疑项目的编号：</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包号：</w:t>
      </w:r>
      <w:r>
        <w:rPr>
          <w:rFonts w:hint="eastAsia" w:ascii="宋体" w:hAnsi="宋体" w:cs="仿宋"/>
          <w:iCs/>
          <w:color w:val="auto"/>
          <w:sz w:val="24"/>
          <w:szCs w:val="24"/>
          <w:u w:val="single"/>
        </w:rPr>
        <w:t xml:space="preserve">                         </w:t>
      </w:r>
    </w:p>
    <w:p w14:paraId="19FA9658">
      <w:pPr>
        <w:spacing w:line="312" w:lineRule="auto"/>
        <w:ind w:firstLine="0"/>
        <w:rPr>
          <w:rFonts w:hint="eastAsia" w:ascii="宋体" w:hAnsi="宋体" w:cs="仿宋"/>
          <w:iCs/>
          <w:color w:val="auto"/>
          <w:sz w:val="24"/>
          <w:szCs w:val="24"/>
          <w:u w:val="single"/>
        </w:rPr>
      </w:pPr>
      <w:r>
        <w:rPr>
          <w:rFonts w:hint="eastAsia" w:ascii="宋体" w:hAnsi="宋体" w:cs="仿宋"/>
          <w:iCs/>
          <w:color w:val="auto"/>
          <w:sz w:val="24"/>
          <w:szCs w:val="24"/>
        </w:rPr>
        <w:t>采购人名称：</w:t>
      </w:r>
      <w:r>
        <w:rPr>
          <w:rFonts w:hint="eastAsia" w:ascii="宋体" w:hAnsi="宋体" w:cs="仿宋"/>
          <w:iCs/>
          <w:color w:val="auto"/>
          <w:sz w:val="24"/>
          <w:szCs w:val="24"/>
          <w:u w:val="single"/>
        </w:rPr>
        <w:t xml:space="preserve">                                                            </w:t>
      </w:r>
    </w:p>
    <w:p w14:paraId="18F6AC91">
      <w:pPr>
        <w:spacing w:line="312" w:lineRule="auto"/>
        <w:ind w:firstLine="0"/>
        <w:rPr>
          <w:rFonts w:hint="eastAsia" w:ascii="宋体" w:hAnsi="宋体" w:cs="仿宋"/>
          <w:iCs/>
          <w:color w:val="auto"/>
          <w:sz w:val="24"/>
          <w:szCs w:val="24"/>
        </w:rPr>
      </w:pPr>
      <w:r>
        <w:rPr>
          <w:rFonts w:hint="eastAsia" w:ascii="宋体" w:hAnsi="宋体" w:cs="仿宋"/>
          <w:iCs/>
          <w:color w:val="auto"/>
          <w:sz w:val="24"/>
          <w:szCs w:val="24"/>
        </w:rPr>
        <w:t>采购文件获取日期：</w:t>
      </w:r>
      <w:r>
        <w:rPr>
          <w:rFonts w:hint="eastAsia" w:ascii="宋体" w:hAnsi="宋体" w:cs="仿宋"/>
          <w:iCs/>
          <w:color w:val="auto"/>
          <w:sz w:val="24"/>
          <w:szCs w:val="24"/>
          <w:u w:val="single"/>
        </w:rPr>
        <w:t xml:space="preserve">                                                      </w:t>
      </w:r>
    </w:p>
    <w:p w14:paraId="4D0888CA">
      <w:pPr>
        <w:spacing w:line="312" w:lineRule="auto"/>
        <w:ind w:firstLine="0"/>
        <w:rPr>
          <w:rFonts w:hint="eastAsia" w:ascii="宋体" w:hAnsi="宋体" w:cs="仿宋"/>
          <w:bCs/>
          <w:iCs/>
          <w:color w:val="auto"/>
          <w:sz w:val="24"/>
          <w:szCs w:val="24"/>
        </w:rPr>
      </w:pPr>
      <w:r>
        <w:rPr>
          <w:rFonts w:hint="eastAsia" w:ascii="宋体" w:hAnsi="宋体" w:cs="仿宋"/>
          <w:bCs/>
          <w:iCs/>
          <w:color w:val="auto"/>
          <w:sz w:val="24"/>
          <w:szCs w:val="24"/>
        </w:rPr>
        <w:t>三、质疑事项具体内容</w:t>
      </w:r>
    </w:p>
    <w:p w14:paraId="44F61B48">
      <w:pPr>
        <w:spacing w:line="312" w:lineRule="auto"/>
        <w:ind w:firstLine="0"/>
        <w:rPr>
          <w:rFonts w:hint="eastAsia" w:ascii="宋体" w:hAnsi="宋体" w:cs="仿宋"/>
          <w:iCs/>
          <w:color w:val="auto"/>
          <w:sz w:val="24"/>
          <w:szCs w:val="24"/>
          <w:u w:val="single"/>
        </w:rPr>
      </w:pPr>
      <w:r>
        <w:rPr>
          <w:rFonts w:hint="eastAsia" w:ascii="宋体" w:hAnsi="宋体" w:cs="仿宋"/>
          <w:iCs/>
          <w:color w:val="auto"/>
          <w:sz w:val="24"/>
          <w:szCs w:val="24"/>
        </w:rPr>
        <w:t>质疑事项1：</w:t>
      </w:r>
      <w:r>
        <w:rPr>
          <w:rFonts w:hint="eastAsia" w:ascii="宋体" w:hAnsi="宋体" w:cs="仿宋"/>
          <w:iCs/>
          <w:color w:val="auto"/>
          <w:sz w:val="24"/>
          <w:szCs w:val="24"/>
          <w:u w:val="single"/>
        </w:rPr>
        <w:t xml:space="preserve">                                                            </w:t>
      </w:r>
    </w:p>
    <w:p w14:paraId="4A1FEFF5">
      <w:pPr>
        <w:spacing w:line="312" w:lineRule="auto"/>
        <w:ind w:firstLine="0"/>
        <w:rPr>
          <w:rFonts w:hint="eastAsia" w:ascii="宋体" w:hAnsi="宋体" w:cs="仿宋"/>
          <w:iCs/>
          <w:color w:val="auto"/>
          <w:sz w:val="24"/>
          <w:szCs w:val="24"/>
        </w:rPr>
      </w:pPr>
      <w:r>
        <w:rPr>
          <w:rFonts w:hint="eastAsia" w:ascii="宋体" w:hAnsi="宋体" w:cs="仿宋"/>
          <w:iCs/>
          <w:color w:val="auto"/>
          <w:sz w:val="24"/>
          <w:szCs w:val="24"/>
        </w:rPr>
        <w:t>事实依据：</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rPr>
          <w:rFonts w:hint="eastAsia" w:ascii="宋体" w:hAnsi="宋体" w:cs="仿宋"/>
          <w:iCs/>
          <w:color w:val="auto"/>
          <w:sz w:val="24"/>
          <w:szCs w:val="24"/>
          <w:u w:val="single"/>
        </w:rPr>
        <w:t xml:space="preserve">                                                      </w:t>
      </w:r>
    </w:p>
    <w:p w14:paraId="39BCB90D">
      <w:pPr>
        <w:spacing w:line="312" w:lineRule="auto"/>
        <w:ind w:firstLine="0"/>
        <w:rPr>
          <w:rFonts w:hint="eastAsia" w:ascii="宋体" w:hAnsi="宋体" w:cs="仿宋"/>
          <w:iCs/>
          <w:color w:val="auto"/>
          <w:sz w:val="24"/>
          <w:szCs w:val="24"/>
          <w:u w:val="single"/>
        </w:rPr>
      </w:pPr>
      <w:r>
        <w:rPr>
          <w:rFonts w:hint="eastAsia" w:ascii="宋体" w:hAnsi="宋体" w:cs="仿宋"/>
          <w:iCs/>
          <w:color w:val="auto"/>
          <w:sz w:val="24"/>
          <w:szCs w:val="24"/>
        </w:rPr>
        <w:t>法律依据：</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rPr>
          <w:rFonts w:hint="eastAsia" w:ascii="宋体" w:hAnsi="宋体" w:cs="仿宋"/>
          <w:iCs/>
          <w:color w:val="auto"/>
          <w:sz w:val="24"/>
          <w:szCs w:val="24"/>
          <w:u w:val="single"/>
        </w:rPr>
        <w:t xml:space="preserve">                                                               </w:t>
      </w:r>
    </w:p>
    <w:p w14:paraId="3D10AE5A">
      <w:pPr>
        <w:spacing w:line="312" w:lineRule="auto"/>
        <w:ind w:firstLine="0"/>
        <w:rPr>
          <w:rFonts w:hint="eastAsia" w:ascii="宋体" w:hAnsi="宋体" w:cs="仿宋"/>
          <w:iCs/>
          <w:color w:val="auto"/>
          <w:sz w:val="24"/>
          <w:szCs w:val="24"/>
          <w:u w:val="single"/>
        </w:rPr>
      </w:pPr>
      <w:r>
        <w:rPr>
          <w:rFonts w:hint="eastAsia" w:ascii="宋体" w:hAnsi="宋体" w:cs="仿宋"/>
          <w:iCs/>
          <w:color w:val="auto"/>
          <w:sz w:val="24"/>
          <w:szCs w:val="24"/>
        </w:rPr>
        <w:t>质疑事项2</w:t>
      </w:r>
    </w:p>
    <w:p w14:paraId="553910E0">
      <w:pPr>
        <w:spacing w:line="312" w:lineRule="auto"/>
        <w:ind w:firstLine="0"/>
        <w:rPr>
          <w:rFonts w:hint="eastAsia" w:ascii="宋体" w:hAnsi="宋体" w:cs="仿宋"/>
          <w:iCs/>
          <w:color w:val="auto"/>
          <w:sz w:val="24"/>
          <w:szCs w:val="24"/>
        </w:rPr>
      </w:pPr>
      <w:r>
        <w:rPr>
          <w:rFonts w:hint="eastAsia" w:ascii="宋体" w:hAnsi="宋体" w:cs="仿宋"/>
          <w:iCs/>
          <w:color w:val="auto"/>
          <w:sz w:val="24"/>
          <w:szCs w:val="24"/>
        </w:rPr>
        <w:t>……</w:t>
      </w:r>
    </w:p>
    <w:p w14:paraId="04FEFCAA">
      <w:pPr>
        <w:spacing w:line="312" w:lineRule="auto"/>
        <w:ind w:firstLine="0"/>
        <w:rPr>
          <w:rFonts w:hint="eastAsia" w:ascii="宋体" w:hAnsi="宋体" w:cs="仿宋"/>
          <w:bCs/>
          <w:iCs/>
          <w:color w:val="auto"/>
          <w:sz w:val="24"/>
          <w:szCs w:val="24"/>
        </w:rPr>
      </w:pPr>
      <w:r>
        <w:rPr>
          <w:rFonts w:hint="eastAsia" w:ascii="宋体" w:hAnsi="宋体" w:cs="仿宋"/>
          <w:bCs/>
          <w:iCs/>
          <w:color w:val="auto"/>
          <w:sz w:val="24"/>
          <w:szCs w:val="24"/>
        </w:rPr>
        <w:t>四、与质疑事项相关的质疑请求</w:t>
      </w:r>
    </w:p>
    <w:p w14:paraId="764D6132">
      <w:pPr>
        <w:spacing w:line="312" w:lineRule="auto"/>
        <w:ind w:firstLine="0"/>
        <w:rPr>
          <w:rFonts w:hint="eastAsia" w:ascii="宋体" w:hAnsi="宋体" w:cs="仿宋"/>
          <w:iCs/>
          <w:color w:val="auto"/>
          <w:sz w:val="24"/>
          <w:szCs w:val="24"/>
          <w:u w:val="single"/>
        </w:rPr>
      </w:pPr>
      <w:r>
        <w:rPr>
          <w:rFonts w:hint="eastAsia" w:ascii="宋体" w:hAnsi="宋体" w:cs="仿宋"/>
          <w:iCs/>
          <w:color w:val="auto"/>
          <w:sz w:val="24"/>
          <w:szCs w:val="24"/>
        </w:rPr>
        <w:t>请求：</w:t>
      </w:r>
      <w:r>
        <w:rPr>
          <w:rFonts w:hint="eastAsia" w:ascii="宋体" w:hAnsi="宋体" w:cs="仿宋"/>
          <w:iCs/>
          <w:color w:val="auto"/>
          <w:sz w:val="24"/>
          <w:szCs w:val="24"/>
          <w:u w:val="single"/>
        </w:rPr>
        <w:t xml:space="preserve">                                                                   </w:t>
      </w:r>
    </w:p>
    <w:p w14:paraId="1A33E7E5">
      <w:pPr>
        <w:spacing w:line="312" w:lineRule="auto"/>
        <w:ind w:firstLine="0"/>
        <w:rPr>
          <w:rFonts w:hint="eastAsia" w:ascii="宋体" w:hAnsi="宋体"/>
          <w:iCs/>
          <w:color w:val="auto"/>
          <w:sz w:val="24"/>
          <w:szCs w:val="24"/>
        </w:rPr>
      </w:pPr>
      <w:r>
        <w:rPr>
          <w:rFonts w:hint="eastAsia" w:ascii="宋体" w:hAnsi="宋体"/>
          <w:iCs/>
          <w:color w:val="auto"/>
          <w:sz w:val="24"/>
          <w:szCs w:val="24"/>
        </w:rPr>
        <w:t xml:space="preserve">签字(签章)：                   公章：                      </w:t>
      </w:r>
    </w:p>
    <w:p w14:paraId="6AB92A3F">
      <w:pPr>
        <w:spacing w:line="312" w:lineRule="auto"/>
        <w:ind w:firstLine="0"/>
        <w:rPr>
          <w:rFonts w:hint="eastAsia" w:ascii="宋体" w:hAnsi="宋体"/>
          <w:iCs/>
          <w:color w:val="auto"/>
          <w:sz w:val="24"/>
          <w:szCs w:val="24"/>
        </w:rPr>
      </w:pPr>
      <w:r>
        <w:rPr>
          <w:rFonts w:hint="eastAsia" w:ascii="宋体" w:hAnsi="宋体"/>
          <w:iCs/>
          <w:color w:val="auto"/>
          <w:sz w:val="24"/>
          <w:szCs w:val="24"/>
        </w:rPr>
        <w:t xml:space="preserve">日期：    </w:t>
      </w:r>
    </w:p>
    <w:p w14:paraId="7AE31FB0">
      <w:pPr>
        <w:spacing w:line="312" w:lineRule="auto"/>
        <w:ind w:firstLine="0"/>
        <w:rPr>
          <w:rFonts w:hint="eastAsia" w:ascii="宋体" w:hAnsi="宋体"/>
          <w:b/>
          <w:iCs/>
          <w:color w:val="auto"/>
          <w:sz w:val="24"/>
          <w:szCs w:val="24"/>
        </w:rPr>
      </w:pPr>
      <w:r>
        <w:rPr>
          <w:rFonts w:hint="eastAsia" w:ascii="宋体" w:hAnsi="宋体"/>
          <w:b/>
          <w:iCs/>
          <w:color w:val="auto"/>
          <w:sz w:val="24"/>
          <w:szCs w:val="24"/>
        </w:rPr>
        <w:t>质疑函制作说明：</w:t>
      </w:r>
    </w:p>
    <w:p w14:paraId="57F36201">
      <w:pPr>
        <w:widowControl/>
        <w:spacing w:line="312" w:lineRule="auto"/>
        <w:ind w:firstLine="0"/>
        <w:jc w:val="left"/>
        <w:rPr>
          <w:rFonts w:hint="eastAsia" w:ascii="宋体" w:hAnsi="宋体"/>
          <w:iCs/>
          <w:color w:val="auto"/>
          <w:sz w:val="24"/>
          <w:szCs w:val="24"/>
        </w:rPr>
      </w:pPr>
      <w:r>
        <w:rPr>
          <w:rFonts w:hint="eastAsia" w:ascii="宋体" w:hAnsi="宋体"/>
          <w:iCs/>
          <w:color w:val="auto"/>
          <w:sz w:val="24"/>
          <w:szCs w:val="24"/>
        </w:rPr>
        <w:t>1.供应商提出质疑时，应提交质疑函和必要的证明材料。</w:t>
      </w:r>
    </w:p>
    <w:p w14:paraId="4DFB36A8">
      <w:pPr>
        <w:widowControl/>
        <w:spacing w:line="312" w:lineRule="auto"/>
        <w:ind w:firstLine="0"/>
        <w:jc w:val="left"/>
        <w:rPr>
          <w:rFonts w:hint="eastAsia" w:ascii="宋体" w:hAnsi="宋体"/>
          <w:iCs/>
          <w:color w:val="auto"/>
          <w:sz w:val="24"/>
          <w:szCs w:val="24"/>
        </w:rPr>
      </w:pPr>
      <w:r>
        <w:rPr>
          <w:rFonts w:hint="eastAsia" w:ascii="宋体" w:hAnsi="宋体"/>
          <w:iCs/>
          <w:color w:val="auto"/>
          <w:sz w:val="24"/>
          <w:szCs w:val="24"/>
        </w:rPr>
        <w:t>2.质疑供应商若委托代理人进行质疑的，质疑函应按要求列明“授权代表”的有关内容，并在附件中提交由质疑</w:t>
      </w:r>
      <w:r>
        <w:rPr>
          <w:rFonts w:hint="eastAsia" w:ascii="宋体" w:hAnsi="宋体" w:cs="宋体"/>
          <w:iCs/>
          <w:color w:val="auto"/>
          <w:sz w:val="24"/>
          <w:szCs w:val="24"/>
        </w:rPr>
        <w:t>供应商签署的授权委托书。授权委托书应载明代理人的姓名或者名称、代理事项、具体权限、期限和相关事项。</w:t>
      </w:r>
    </w:p>
    <w:p w14:paraId="60845086">
      <w:pPr>
        <w:widowControl/>
        <w:spacing w:line="312" w:lineRule="auto"/>
        <w:ind w:firstLine="0"/>
        <w:jc w:val="left"/>
        <w:rPr>
          <w:rFonts w:hint="eastAsia" w:ascii="宋体" w:hAnsi="宋体"/>
          <w:iCs/>
          <w:color w:val="auto"/>
          <w:sz w:val="24"/>
          <w:szCs w:val="24"/>
        </w:rPr>
      </w:pPr>
      <w:r>
        <w:rPr>
          <w:rFonts w:hint="eastAsia" w:ascii="宋体" w:hAnsi="宋体"/>
          <w:iCs/>
          <w:color w:val="auto"/>
          <w:sz w:val="24"/>
          <w:szCs w:val="24"/>
        </w:rPr>
        <w:t>3.质疑供应商若对项目的某一分包进行质疑，质疑函中应列明具体分包号。</w:t>
      </w:r>
    </w:p>
    <w:p w14:paraId="118C60CC">
      <w:pPr>
        <w:widowControl/>
        <w:spacing w:line="312" w:lineRule="auto"/>
        <w:ind w:firstLine="0"/>
        <w:jc w:val="left"/>
        <w:rPr>
          <w:rFonts w:hint="eastAsia" w:ascii="宋体" w:hAnsi="宋体"/>
          <w:iCs/>
          <w:color w:val="auto"/>
          <w:sz w:val="24"/>
          <w:szCs w:val="24"/>
        </w:rPr>
      </w:pPr>
      <w:r>
        <w:rPr>
          <w:rFonts w:hint="eastAsia" w:ascii="宋体" w:hAnsi="宋体"/>
          <w:iCs/>
          <w:color w:val="auto"/>
          <w:sz w:val="24"/>
          <w:szCs w:val="24"/>
        </w:rPr>
        <w:t>4.质疑函的质疑事项应具体、明确，并有必要的事实依据和法律依据。</w:t>
      </w:r>
    </w:p>
    <w:p w14:paraId="5ECB6F40">
      <w:pPr>
        <w:widowControl/>
        <w:spacing w:line="312" w:lineRule="auto"/>
        <w:ind w:firstLine="0"/>
        <w:jc w:val="left"/>
        <w:rPr>
          <w:rFonts w:hint="eastAsia" w:ascii="宋体" w:hAnsi="宋体"/>
          <w:iCs/>
          <w:color w:val="auto"/>
          <w:sz w:val="24"/>
          <w:szCs w:val="24"/>
        </w:rPr>
      </w:pPr>
      <w:r>
        <w:rPr>
          <w:rFonts w:hint="eastAsia" w:ascii="宋体" w:hAnsi="宋体"/>
          <w:iCs/>
          <w:color w:val="auto"/>
          <w:sz w:val="24"/>
          <w:szCs w:val="24"/>
        </w:rPr>
        <w:t>5.质疑函的质疑请求应与质疑事项相关。</w:t>
      </w:r>
    </w:p>
    <w:p w14:paraId="41956937">
      <w:pPr>
        <w:spacing w:line="360" w:lineRule="auto"/>
        <w:rPr>
          <w:color w:val="auto"/>
        </w:rPr>
      </w:pPr>
      <w:r>
        <w:rPr>
          <w:rFonts w:hint="eastAsia" w:ascii="宋体" w:hAnsi="宋体"/>
          <w:iCs/>
          <w:color w:val="auto"/>
          <w:sz w:val="24"/>
          <w:szCs w:val="24"/>
        </w:rPr>
        <w:t>6.质疑供应商为自然人的，质疑函应由本人签字；质疑供应商为法人或者其他组织的，质疑函应由法定代表人、主要负责人，或者其授权代表签字或者盖章，并加盖公章。</w:t>
      </w:r>
    </w:p>
    <w:p w14:paraId="780B8F29">
      <w:pPr>
        <w:rPr>
          <w:color w:val="auto"/>
        </w:rPr>
      </w:pPr>
    </w:p>
    <w:sectPr>
      <w:pgSz w:w="11906" w:h="16838"/>
      <w:pgMar w:top="1247" w:right="1134" w:bottom="1021" w:left="1361" w:header="1021" w:footer="964"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2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PMingLiU-ExtB"/>
    <w:panose1 w:val="02010509060101010101"/>
    <w:charset w:val="00"/>
    <w:family w:val="auto"/>
    <w:pitch w:val="default"/>
    <w:sig w:usb0="00000000" w:usb1="00000000" w:usb2="00000000" w:usb3="00000000" w:csb0="00000000" w:csb1="00000000"/>
  </w:font>
  <w:font w:name="PMingLiU-ExtB">
    <w:panose1 w:val="02020500000000000000"/>
    <w:charset w:val="88"/>
    <w:family w:val="auto"/>
    <w:pitch w:val="default"/>
    <w:sig w:usb0="8000002F" w:usb1="02000008" w:usb2="00000000" w:usb3="00000000" w:csb0="0010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monospace">
    <w:altName w:val="Malgun Gothic"/>
    <w:panose1 w:val="020B0503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新宋体">
    <w:panose1 w:val="02010609030101010101"/>
    <w:charset w:val="86"/>
    <w:family w:val="auto"/>
    <w:pitch w:val="default"/>
    <w:sig w:usb0="00000203" w:usb1="288F0000" w:usb2="00000006" w:usb3="00000000" w:csb0="00040001" w:csb1="00000000"/>
  </w:font>
  <w:font w:name="PMingLiU">
    <w:altName w:val="PMingLiU-ExtB"/>
    <w:panose1 w:val="02020500000000000000"/>
    <w:charset w:val="88"/>
    <w:family w:val="auto"/>
    <w:pitch w:val="default"/>
    <w:sig w:usb0="00000000" w:usb1="00000000" w:usb2="00000016" w:usb3="00000000" w:csb0="00100001" w:csb1="00000000"/>
  </w:font>
  <w:font w:name="方正楷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Book Antiqua">
    <w:altName w:val="Segoe Print"/>
    <w:panose1 w:val="0204060205030503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黑体_GBK">
    <w:altName w:val="微软雅黑"/>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方正小标宋_GBK">
    <w:altName w:val="微软雅黑"/>
    <w:panose1 w:val="020B0503020202020204"/>
    <w:charset w:val="00"/>
    <w:family w:val="auto"/>
    <w:pitch w:val="default"/>
    <w:sig w:usb0="00000000" w:usb1="00000000" w:usb2="00000000" w:usb3="00000000" w:csb0="00000000" w:csb1="00000000"/>
  </w:font>
  <w:font w:name="方正姚体">
    <w:altName w:val="Verdana"/>
    <w:panose1 w:val="0201060103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A113A">
    <w:pPr>
      <w:pStyle w:val="3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66F80">
    <w:pPr>
      <w:pStyle w:val="3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0ACDE08">
                          <w:pPr>
                            <w:pStyle w:val="30"/>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p w14:paraId="2E41D2C0"/>
                      </w:txbxContent>
                    </wps:txbx>
                    <wps:bodyPr wrap="none" lIns="0" tIns="0" rIns="0" bIns="0" anchor="t" anchorCtr="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AOy+Dh5AEAAM4DAAAO&#10;AAAAAAAAAAEAIAAAAB4BAABkcnMvZTJvRG9jLnhtbFBLBQYAAAAABgAGAFkBAAB0BQAAAAA=&#10;">
              <v:fill on="f" focussize="0,0"/>
              <v:stroke on="f"/>
              <v:imagedata o:title=""/>
              <o:lock v:ext="edit" aspectratio="f"/>
              <v:textbox inset="0mm,0mm,0mm,0mm" style="mso-fit-shape-to-text:t;">
                <w:txbxContent>
                  <w:p w14:paraId="00ACDE08">
                    <w:pPr>
                      <w:pStyle w:val="30"/>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p w14:paraId="2E41D2C0"/>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D8805D">
    <w:pPr>
      <w:pStyle w:val="3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3510" cy="216535"/>
              <wp:effectExtent l="0" t="0" r="0" b="0"/>
              <wp:wrapNone/>
              <wp:docPr id="2" name="文本框 1"/>
              <wp:cNvGraphicFramePr/>
              <a:graphic xmlns:a="http://schemas.openxmlformats.org/drawingml/2006/main">
                <a:graphicData uri="http://schemas.microsoft.com/office/word/2010/wordprocessingShape">
                  <wps:wsp>
                    <wps:cNvSpPr txBox="1"/>
                    <wps:spPr bwMode="auto">
                      <a:xfrm>
                        <a:off x="0" y="0"/>
                        <a:ext cx="143510" cy="216535"/>
                      </a:xfrm>
                      <a:prstGeom prst="rect">
                        <a:avLst/>
                      </a:prstGeom>
                      <a:noFill/>
                      <a:ln>
                        <a:noFill/>
                      </a:ln>
                    </wps:spPr>
                    <wps:txbx>
                      <w:txbxContent>
                        <w:p w14:paraId="67BC60F7">
                          <w:pPr>
                            <w:pStyle w:val="30"/>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p w14:paraId="1C532CF2"/>
                      </w:txbxContent>
                    </wps:txbx>
                    <wps:bodyPr lIns="0" tIns="0" rIns="0" bIns="0" anchor="t" anchorCtr="0" upright="1"/>
                  </wps:wsp>
                </a:graphicData>
              </a:graphic>
            </wp:anchor>
          </w:drawing>
        </mc:Choice>
        <mc:Fallback>
          <w:pict>
            <v:shape id="文本框 1" o:spid="_x0000_s1026" o:spt="202" type="#_x0000_t202" style="position:absolute;left:0pt;margin-top:0pt;height:17.05pt;width:11.3pt;mso-position-horizontal:center;mso-position-horizontal-relative:margin;z-index:251660288;mso-width-relative:page;mso-height-relative:page;" filled="f" stroked="f" coordsize="21600,21600" o:gfxdata="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BdM+rdMAAAADAQAADwAAAAAAAAABACAAAAAiAAAAZHJz&#10;L2Rvd25yZXYueG1sUEsBAhQAFAAAAAgAh07iQBjtgXjQAQAAmAMAAA4AAAAAAAAAAQAgAAAAIgEA&#10;AGRycy9lMm9Eb2MueG1sUEsFBgAAAAAGAAYAWQEAAGQFAAAAAA==&#10;">
              <v:fill on="f" focussize="0,0"/>
              <v:stroke on="f"/>
              <v:imagedata o:title=""/>
              <o:lock v:ext="edit" aspectratio="f"/>
              <v:textbox inset="0mm,0mm,0mm,0mm">
                <w:txbxContent>
                  <w:p w14:paraId="67BC60F7">
                    <w:pPr>
                      <w:pStyle w:val="30"/>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p w14:paraId="1C532CF2"/>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A619DA"/>
    <w:multiLevelType w:val="multilevel"/>
    <w:tmpl w:val="83A619D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CC9B787"/>
    <w:multiLevelType w:val="multilevel"/>
    <w:tmpl w:val="9CC9B787"/>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A9DFE393"/>
    <w:multiLevelType w:val="multilevel"/>
    <w:tmpl w:val="A9DFE393"/>
    <w:lvl w:ilvl="0" w:tentative="0">
      <w:start w:val="2"/>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5E306ED"/>
    <w:multiLevelType w:val="multilevel"/>
    <w:tmpl w:val="B5E306ED"/>
    <w:lvl w:ilvl="0" w:tentative="0">
      <w:start w:val="1"/>
      <w:numFmt w:val="decimal"/>
      <w:suff w:val="nothing"/>
      <w:lvlText w:val="%1、"/>
      <w:lvlJc w:val="left"/>
      <w:rPr>
        <w:rFonts w:hint="default"/>
        <w:u w:val="none" w:color="auto"/>
      </w:rPr>
    </w:lvl>
    <w:lvl w:ilvl="1" w:tentative="0">
      <w:start w:val="1"/>
      <w:numFmt w:val="bullet"/>
      <w:lvlText w:val="o"/>
      <w:lvlJc w:val="left"/>
      <w:pPr>
        <w:ind w:left="1440" w:hanging="360"/>
      </w:pPr>
      <w:rPr>
        <w:rFonts w:hint="default" w:ascii="Courier New" w:hAnsi="Courier New" w:cs="Courier New"/>
        <w:u w:val="none" w:color="auto"/>
      </w:rPr>
    </w:lvl>
    <w:lvl w:ilvl="2" w:tentative="0">
      <w:start w:val="1"/>
      <w:numFmt w:val="bullet"/>
      <w:lvlText w:val="§"/>
      <w:lvlJc w:val="left"/>
      <w:pPr>
        <w:ind w:left="2160" w:hanging="360"/>
      </w:pPr>
      <w:rPr>
        <w:rFonts w:hint="default" w:ascii="Wingdings" w:hAnsi="Wingdings" w:eastAsia="Wingdings" w:cs="Wingdings"/>
        <w:u w:val="none" w:color="auto"/>
      </w:rPr>
    </w:lvl>
    <w:lvl w:ilvl="3" w:tentative="0">
      <w:start w:val="1"/>
      <w:numFmt w:val="bullet"/>
      <w:lvlText w:val="·"/>
      <w:lvlJc w:val="left"/>
      <w:pPr>
        <w:ind w:left="2880" w:hanging="360"/>
      </w:pPr>
      <w:rPr>
        <w:rFonts w:hint="default" w:ascii="Symbol" w:hAnsi="Symbol" w:eastAsia="Symbol" w:cs="Symbol"/>
        <w:u w:val="none" w:color="auto"/>
      </w:rPr>
    </w:lvl>
    <w:lvl w:ilvl="4" w:tentative="0">
      <w:start w:val="1"/>
      <w:numFmt w:val="bullet"/>
      <w:lvlText w:val="o"/>
      <w:lvlJc w:val="left"/>
      <w:pPr>
        <w:ind w:left="3600" w:hanging="360"/>
      </w:pPr>
      <w:rPr>
        <w:rFonts w:hint="default" w:ascii="Courier New" w:hAnsi="Courier New" w:cs="Courier New"/>
        <w:u w:val="none" w:color="auto"/>
      </w:rPr>
    </w:lvl>
    <w:lvl w:ilvl="5" w:tentative="0">
      <w:start w:val="1"/>
      <w:numFmt w:val="bullet"/>
      <w:lvlText w:val="§"/>
      <w:lvlJc w:val="left"/>
      <w:pPr>
        <w:ind w:left="4320" w:hanging="360"/>
      </w:pPr>
      <w:rPr>
        <w:rFonts w:hint="default" w:ascii="Wingdings" w:hAnsi="Wingdings" w:eastAsia="Wingdings" w:cs="Wingdings"/>
        <w:u w:val="none" w:color="auto"/>
      </w:rPr>
    </w:lvl>
    <w:lvl w:ilvl="6" w:tentative="0">
      <w:start w:val="1"/>
      <w:numFmt w:val="bullet"/>
      <w:lvlText w:val="·"/>
      <w:lvlJc w:val="left"/>
      <w:pPr>
        <w:ind w:left="5040" w:hanging="360"/>
      </w:pPr>
      <w:rPr>
        <w:rFonts w:hint="default" w:ascii="Symbol" w:hAnsi="Symbol" w:eastAsia="Symbol" w:cs="Symbol"/>
        <w:u w:val="none" w:color="auto"/>
      </w:rPr>
    </w:lvl>
    <w:lvl w:ilvl="7" w:tentative="0">
      <w:start w:val="1"/>
      <w:numFmt w:val="bullet"/>
      <w:lvlText w:val="o"/>
      <w:lvlJc w:val="left"/>
      <w:pPr>
        <w:ind w:left="5760" w:hanging="360"/>
      </w:pPr>
      <w:rPr>
        <w:rFonts w:hint="default" w:ascii="Courier New" w:hAnsi="Courier New" w:cs="Courier New"/>
        <w:u w:val="none" w:color="auto"/>
      </w:rPr>
    </w:lvl>
    <w:lvl w:ilvl="8" w:tentative="0">
      <w:start w:val="1"/>
      <w:numFmt w:val="bullet"/>
      <w:lvlText w:val="§"/>
      <w:lvlJc w:val="left"/>
      <w:pPr>
        <w:ind w:left="6480" w:hanging="360"/>
      </w:pPr>
      <w:rPr>
        <w:rFonts w:hint="default" w:ascii="Wingdings" w:hAnsi="Wingdings" w:eastAsia="Wingdings" w:cs="Wingdings"/>
        <w:u w:val="none" w:color="auto"/>
      </w:rPr>
    </w:lvl>
  </w:abstractNum>
  <w:abstractNum w:abstractNumId="4">
    <w:nsid w:val="CB27D02D"/>
    <w:multiLevelType w:val="multilevel"/>
    <w:tmpl w:val="CB27D02D"/>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F092B84"/>
    <w:multiLevelType w:val="multilevel"/>
    <w:tmpl w:val="CF092B84"/>
    <w:lvl w:ilvl="0" w:tentative="0">
      <w:start w:val="1"/>
      <w:numFmt w:val="upperLetter"/>
      <w:pStyle w:val="28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53208E"/>
    <w:multiLevelType w:val="multilevel"/>
    <w:tmpl w:val="0053208E"/>
    <w:lvl w:ilvl="0" w:tentative="0">
      <w:start w:val="1"/>
      <w:numFmt w:val="japaneseCounting"/>
      <w:pStyle w:val="266"/>
      <w:lvlText w:val="第%1章"/>
      <w:lvlJc w:val="left"/>
      <w:pPr>
        <w:ind w:left="9351" w:hanging="420"/>
      </w:pPr>
      <w:rPr>
        <w:rFonts w:hint="eastAsia" w:ascii="黑体" w:eastAsia="黑体"/>
        <w:b w:val="0"/>
        <w:sz w:val="36"/>
        <w:lang w:val="en-US"/>
      </w:rPr>
    </w:lvl>
    <w:lvl w:ilvl="1" w:tentative="0">
      <w:start w:val="1"/>
      <w:numFmt w:val="decimal"/>
      <w:pStyle w:val="267"/>
      <w:lvlText w:val="%1.%2"/>
      <w:lvlJc w:val="left"/>
      <w:pPr>
        <w:tabs>
          <w:tab w:val="left" w:pos="851"/>
        </w:tabs>
        <w:ind w:left="0" w:firstLine="0"/>
      </w:pPr>
      <w:rPr>
        <w:rFonts w:cs="Times New Roman"/>
        <w:b w:val="0"/>
        <w:bCs w:val="0"/>
        <w:i w:val="0"/>
        <w:iCs w:val="0"/>
        <w:caps w:val="0"/>
        <w:smallCaps w:val="0"/>
        <w:strike w:val="0"/>
        <w:vanish w:val="0"/>
        <w:spacing w:val="0"/>
        <w:position w:val="0"/>
        <w:u w:val="none"/>
        <w:vertAlign w:val="baseline"/>
      </w:rPr>
    </w:lvl>
    <w:lvl w:ilvl="2" w:tentative="0">
      <w:start w:val="1"/>
      <w:numFmt w:val="decimal"/>
      <w:pStyle w:val="268"/>
      <w:lvlText w:val="%1.%2.%3"/>
      <w:lvlJc w:val="left"/>
      <w:pPr>
        <w:tabs>
          <w:tab w:val="left" w:pos="851"/>
        </w:tabs>
        <w:ind w:left="0" w:firstLine="0"/>
      </w:pPr>
      <w:rPr>
        <w:rFonts w:cs="Times New Roman"/>
        <w:b w:val="0"/>
        <w:bCs w:val="0"/>
        <w:i w:val="0"/>
        <w:iCs w:val="0"/>
        <w:caps w:val="0"/>
        <w:smallCaps w:val="0"/>
        <w:strike w:val="0"/>
        <w:vanish w:val="0"/>
        <w:color w:val="000000"/>
        <w:spacing w:val="0"/>
        <w:position w:val="0"/>
        <w:u w:val="none"/>
        <w:vertAlign w:val="baseline"/>
      </w:rPr>
    </w:lvl>
    <w:lvl w:ilvl="3" w:tentative="0">
      <w:start w:val="1"/>
      <w:numFmt w:val="decimal"/>
      <w:pStyle w:val="256"/>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7">
    <w:nsid w:val="298F59ED"/>
    <w:multiLevelType w:val="multilevel"/>
    <w:tmpl w:val="298F59ED"/>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314E4050"/>
    <w:multiLevelType w:val="multilevel"/>
    <w:tmpl w:val="314E4050"/>
    <w:lvl w:ilvl="0" w:tentative="0">
      <w:start w:val="8"/>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6E6E8C91"/>
    <w:multiLevelType w:val="multilevel"/>
    <w:tmpl w:val="6E6E8C91"/>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2"/>
  </w:num>
  <w:num w:numId="4">
    <w:abstractNumId w:val="7"/>
  </w:num>
  <w:num w:numId="5">
    <w:abstractNumId w:val="1"/>
  </w:num>
  <w:num w:numId="6">
    <w:abstractNumId w:val="9"/>
  </w:num>
  <w:num w:numId="7">
    <w:abstractNumId w:val="4"/>
  </w:num>
  <w:num w:numId="8">
    <w:abstractNumId w:val="3"/>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F67DF"/>
    <w:rsid w:val="020E02AA"/>
    <w:rsid w:val="02ED1C6E"/>
    <w:rsid w:val="04651CD8"/>
    <w:rsid w:val="050E411D"/>
    <w:rsid w:val="066A367E"/>
    <w:rsid w:val="07235607"/>
    <w:rsid w:val="0729554C"/>
    <w:rsid w:val="0753050D"/>
    <w:rsid w:val="07660241"/>
    <w:rsid w:val="09033ED8"/>
    <w:rsid w:val="097306DD"/>
    <w:rsid w:val="09E343AB"/>
    <w:rsid w:val="09EA5159"/>
    <w:rsid w:val="0A6F565E"/>
    <w:rsid w:val="0B310B66"/>
    <w:rsid w:val="0C8C699B"/>
    <w:rsid w:val="0C9E222B"/>
    <w:rsid w:val="0EE973A4"/>
    <w:rsid w:val="0EFD676D"/>
    <w:rsid w:val="10EF12A7"/>
    <w:rsid w:val="112D6307"/>
    <w:rsid w:val="11E22BBA"/>
    <w:rsid w:val="1316525D"/>
    <w:rsid w:val="137124FF"/>
    <w:rsid w:val="148D1503"/>
    <w:rsid w:val="15C34AB0"/>
    <w:rsid w:val="16021CAC"/>
    <w:rsid w:val="173405A0"/>
    <w:rsid w:val="18826BCE"/>
    <w:rsid w:val="1A9311E0"/>
    <w:rsid w:val="1C3E30E2"/>
    <w:rsid w:val="1CAC629E"/>
    <w:rsid w:val="1F5F3A9B"/>
    <w:rsid w:val="20606E94"/>
    <w:rsid w:val="210D1316"/>
    <w:rsid w:val="224C4B3F"/>
    <w:rsid w:val="22947F00"/>
    <w:rsid w:val="24305A06"/>
    <w:rsid w:val="24613E12"/>
    <w:rsid w:val="24DE5462"/>
    <w:rsid w:val="25090731"/>
    <w:rsid w:val="256911D0"/>
    <w:rsid w:val="25BD7D93"/>
    <w:rsid w:val="27376425"/>
    <w:rsid w:val="27A42993"/>
    <w:rsid w:val="28D76D98"/>
    <w:rsid w:val="29075556"/>
    <w:rsid w:val="29B9024C"/>
    <w:rsid w:val="2BC41856"/>
    <w:rsid w:val="2BD96984"/>
    <w:rsid w:val="2C5532EA"/>
    <w:rsid w:val="2C7C7A3B"/>
    <w:rsid w:val="30A43A04"/>
    <w:rsid w:val="31442AF1"/>
    <w:rsid w:val="323243B7"/>
    <w:rsid w:val="32821B23"/>
    <w:rsid w:val="336C3C69"/>
    <w:rsid w:val="34AF2977"/>
    <w:rsid w:val="36676D44"/>
    <w:rsid w:val="377063EE"/>
    <w:rsid w:val="3AC34F78"/>
    <w:rsid w:val="3BAF5213"/>
    <w:rsid w:val="3C9C1A33"/>
    <w:rsid w:val="3CDB69FF"/>
    <w:rsid w:val="3E994C2D"/>
    <w:rsid w:val="3FD80FD4"/>
    <w:rsid w:val="40277D66"/>
    <w:rsid w:val="40626FEA"/>
    <w:rsid w:val="41BB6E00"/>
    <w:rsid w:val="4246491B"/>
    <w:rsid w:val="42C96C29"/>
    <w:rsid w:val="42E36CC4"/>
    <w:rsid w:val="43301127"/>
    <w:rsid w:val="43E23DCE"/>
    <w:rsid w:val="44823C05"/>
    <w:rsid w:val="45012D7B"/>
    <w:rsid w:val="454B2248"/>
    <w:rsid w:val="45F75F2C"/>
    <w:rsid w:val="46936C54"/>
    <w:rsid w:val="46E42955"/>
    <w:rsid w:val="475937EF"/>
    <w:rsid w:val="48DB38E3"/>
    <w:rsid w:val="4A2512BA"/>
    <w:rsid w:val="4AEE55F3"/>
    <w:rsid w:val="4C082C41"/>
    <w:rsid w:val="4CE74F17"/>
    <w:rsid w:val="4DC112FA"/>
    <w:rsid w:val="4DF777F6"/>
    <w:rsid w:val="4EEA3D1E"/>
    <w:rsid w:val="4F350E27"/>
    <w:rsid w:val="51946F44"/>
    <w:rsid w:val="51C67CA8"/>
    <w:rsid w:val="529B6283"/>
    <w:rsid w:val="52D7336D"/>
    <w:rsid w:val="53C5766A"/>
    <w:rsid w:val="53DA0D42"/>
    <w:rsid w:val="544D4252"/>
    <w:rsid w:val="54520EFE"/>
    <w:rsid w:val="54B24092"/>
    <w:rsid w:val="54D67D81"/>
    <w:rsid w:val="54DC4C6B"/>
    <w:rsid w:val="55284354"/>
    <w:rsid w:val="557430F6"/>
    <w:rsid w:val="55FB7373"/>
    <w:rsid w:val="592E47BE"/>
    <w:rsid w:val="592F3F03"/>
    <w:rsid w:val="5ABA09F3"/>
    <w:rsid w:val="5B4D241F"/>
    <w:rsid w:val="5BF22FC6"/>
    <w:rsid w:val="5C6E089F"/>
    <w:rsid w:val="5C7F2AAC"/>
    <w:rsid w:val="5DE9062E"/>
    <w:rsid w:val="5E0758E6"/>
    <w:rsid w:val="5EE97FDE"/>
    <w:rsid w:val="60B41389"/>
    <w:rsid w:val="618E4624"/>
    <w:rsid w:val="61C3343B"/>
    <w:rsid w:val="61FC694D"/>
    <w:rsid w:val="62312A9A"/>
    <w:rsid w:val="631F0B45"/>
    <w:rsid w:val="634E31D8"/>
    <w:rsid w:val="66D82430"/>
    <w:rsid w:val="67BF6452"/>
    <w:rsid w:val="67F81964"/>
    <w:rsid w:val="69EC72A7"/>
    <w:rsid w:val="6A333127"/>
    <w:rsid w:val="6B413622"/>
    <w:rsid w:val="6B5E2426"/>
    <w:rsid w:val="6EBA3E17"/>
    <w:rsid w:val="6ECB1B80"/>
    <w:rsid w:val="6FCF744E"/>
    <w:rsid w:val="708741CD"/>
    <w:rsid w:val="71B2527A"/>
    <w:rsid w:val="71DF5E5B"/>
    <w:rsid w:val="729D3834"/>
    <w:rsid w:val="72A03324"/>
    <w:rsid w:val="737427E7"/>
    <w:rsid w:val="73A40BF2"/>
    <w:rsid w:val="74071E30"/>
    <w:rsid w:val="76422F15"/>
    <w:rsid w:val="76B80C3C"/>
    <w:rsid w:val="7A55622F"/>
    <w:rsid w:val="7B061429"/>
    <w:rsid w:val="7B580B45"/>
    <w:rsid w:val="7BE97AEA"/>
    <w:rsid w:val="7D034BDB"/>
    <w:rsid w:val="7D0F532E"/>
    <w:rsid w:val="7EEF59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宋体" w:cs="Times New Roman"/>
      <w:sz w:val="21"/>
      <w:szCs w:val="24"/>
      <w:lang w:val="en-US" w:eastAsia="zh-CN" w:bidi="ar-SA"/>
    </w:rPr>
  </w:style>
  <w:style w:type="paragraph" w:styleId="3">
    <w:name w:val="heading 1"/>
    <w:basedOn w:val="1"/>
    <w:next w:val="1"/>
    <w:link w:val="234"/>
    <w:qFormat/>
    <w:uiPriority w:val="0"/>
    <w:pPr>
      <w:keepNext/>
      <w:outlineLvl w:val="0"/>
    </w:pPr>
    <w:rPr>
      <w:rFonts w:ascii="楷体_GB2312" w:eastAsia="楷体_GB2312"/>
      <w:sz w:val="28"/>
      <w:szCs w:val="20"/>
    </w:rPr>
  </w:style>
  <w:style w:type="paragraph" w:styleId="4">
    <w:name w:val="heading 2"/>
    <w:basedOn w:val="1"/>
    <w:next w:val="1"/>
    <w:link w:val="87"/>
    <w:qFormat/>
    <w:uiPriority w:val="0"/>
    <w:pPr>
      <w:keepNext/>
      <w:keepLines/>
      <w:spacing w:before="260" w:after="260" w:line="416" w:lineRule="auto"/>
      <w:jc w:val="center"/>
      <w:outlineLvl w:val="1"/>
    </w:pPr>
    <w:rPr>
      <w:rFonts w:ascii="Arial" w:hAnsi="Arial" w:eastAsia="幼圆"/>
      <w:b/>
      <w:sz w:val="44"/>
      <w:szCs w:val="20"/>
    </w:rPr>
  </w:style>
  <w:style w:type="paragraph" w:styleId="5">
    <w:name w:val="heading 3"/>
    <w:basedOn w:val="1"/>
    <w:next w:val="1"/>
    <w:link w:val="88"/>
    <w:qFormat/>
    <w:uiPriority w:val="0"/>
    <w:pPr>
      <w:keepNext/>
      <w:keepLines/>
      <w:spacing w:before="260" w:after="260" w:line="416" w:lineRule="auto"/>
      <w:outlineLvl w:val="2"/>
    </w:pPr>
    <w:rPr>
      <w:b/>
      <w:sz w:val="32"/>
      <w:szCs w:val="20"/>
    </w:rPr>
  </w:style>
  <w:style w:type="paragraph" w:styleId="6">
    <w:name w:val="heading 4"/>
    <w:basedOn w:val="1"/>
    <w:next w:val="1"/>
    <w:link w:val="89"/>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90"/>
    <w:qFormat/>
    <w:uiPriority w:val="0"/>
    <w:pPr>
      <w:keepNext/>
      <w:outlineLvl w:val="4"/>
    </w:pPr>
    <w:rPr>
      <w:rFonts w:ascii="宋体" w:hAnsi="宋体"/>
      <w:b/>
      <w:bCs/>
    </w:rPr>
  </w:style>
  <w:style w:type="paragraph" w:styleId="8">
    <w:name w:val="heading 6"/>
    <w:basedOn w:val="1"/>
    <w:next w:val="1"/>
    <w:link w:val="9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9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9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94"/>
    <w:unhideWhenUsed/>
    <w:qFormat/>
    <w:uiPriority w:val="9"/>
    <w:pPr>
      <w:keepNext/>
      <w:keepLines/>
      <w:spacing w:before="320" w:after="200"/>
      <w:outlineLvl w:val="8"/>
    </w:pPr>
    <w:rPr>
      <w:rFonts w:ascii="Arial" w:hAnsi="Arial" w:eastAsia="Arial" w:cs="Arial"/>
      <w:i/>
      <w:iCs/>
      <w:szCs w:val="21"/>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2">
    <w:name w:val="List Paragraph"/>
    <w:basedOn w:val="1"/>
    <w:qFormat/>
    <w:uiPriority w:val="34"/>
    <w:pPr>
      <w:ind w:left="720"/>
      <w:contextualSpacing/>
    </w:pPr>
  </w:style>
  <w:style w:type="paragraph" w:styleId="12">
    <w:name w:val="toc 7"/>
    <w:basedOn w:val="1"/>
    <w:next w:val="1"/>
    <w:unhideWhenUsed/>
    <w:qFormat/>
    <w:uiPriority w:val="39"/>
    <w:pPr>
      <w:spacing w:after="57"/>
      <w:ind w:left="1701"/>
    </w:pPr>
  </w:style>
  <w:style w:type="paragraph" w:styleId="13">
    <w:name w:val="Normal Indent"/>
    <w:basedOn w:val="1"/>
    <w:link w:val="238"/>
    <w:qFormat/>
    <w:uiPriority w:val="0"/>
    <w:pPr>
      <w:ind w:firstLine="420"/>
    </w:pPr>
    <w:rPr>
      <w:szCs w:val="20"/>
    </w:r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Document Map"/>
    <w:basedOn w:val="1"/>
    <w:semiHidden/>
    <w:qFormat/>
    <w:uiPriority w:val="0"/>
    <w:pPr>
      <w:shd w:val="clear" w:color="auto" w:fill="000080"/>
    </w:pPr>
  </w:style>
  <w:style w:type="paragraph" w:styleId="16">
    <w:name w:val="annotation text"/>
    <w:basedOn w:val="1"/>
    <w:link w:val="242"/>
    <w:qFormat/>
    <w:uiPriority w:val="0"/>
    <w:pPr>
      <w:jc w:val="left"/>
    </w:pPr>
  </w:style>
  <w:style w:type="paragraph" w:styleId="17">
    <w:name w:val="Body Text 3"/>
    <w:basedOn w:val="1"/>
    <w:qFormat/>
    <w:uiPriority w:val="0"/>
    <w:rPr>
      <w:rFonts w:ascii="仿宋_GB2312" w:hAnsi="Arial" w:eastAsia="仿宋_GB2312"/>
      <w:sz w:val="32"/>
      <w:szCs w:val="20"/>
    </w:rPr>
  </w:style>
  <w:style w:type="paragraph" w:styleId="18">
    <w:name w:val="Body Text"/>
    <w:basedOn w:val="1"/>
    <w:qFormat/>
    <w:uiPriority w:val="0"/>
    <w:rPr>
      <w:rFonts w:ascii="楷体_GB2312" w:hAnsi="Arial" w:eastAsia="楷体_GB2312"/>
      <w:sz w:val="28"/>
      <w:szCs w:val="20"/>
    </w:rPr>
  </w:style>
  <w:style w:type="paragraph" w:styleId="19">
    <w:name w:val="Body Text Indent"/>
    <w:basedOn w:val="1"/>
    <w:next w:val="20"/>
    <w:qFormat/>
    <w:uiPriority w:val="0"/>
    <w:pPr>
      <w:ind w:firstLine="645"/>
    </w:pPr>
    <w:rPr>
      <w:rFonts w:ascii="楷体_GB2312" w:eastAsia="楷体_GB2312"/>
      <w:sz w:val="32"/>
      <w:szCs w:val="20"/>
    </w:rPr>
  </w:style>
  <w:style w:type="paragraph" w:styleId="20">
    <w:name w:val="Body Text First Indent 2"/>
    <w:basedOn w:val="19"/>
    <w:next w:val="13"/>
    <w:qFormat/>
    <w:uiPriority w:val="0"/>
    <w:pPr>
      <w:widowControl/>
      <w:tabs>
        <w:tab w:val="left" w:pos="1080"/>
        <w:tab w:val="center" w:pos="4393"/>
        <w:tab w:val="left" w:pos="6774"/>
      </w:tabs>
      <w:spacing w:before="100" w:beforeAutospacing="1" w:after="100" w:afterAutospacing="1"/>
      <w:ind w:left="420" w:firstLine="420"/>
    </w:pPr>
    <w:rPr>
      <w:sz w:val="24"/>
    </w:rPr>
  </w:style>
  <w:style w:type="paragraph" w:styleId="21">
    <w:name w:val="Block Text"/>
    <w:basedOn w:val="1"/>
    <w:qFormat/>
    <w:uiPriority w:val="0"/>
    <w:pPr>
      <w:widowControl/>
      <w:spacing w:before="100" w:beforeAutospacing="1" w:after="100" w:afterAutospacing="1" w:line="360" w:lineRule="auto"/>
      <w:ind w:left="1440" w:right="1440" w:firstLine="480"/>
      <w:jc w:val="left"/>
    </w:pPr>
    <w:rPr>
      <w:rFonts w:ascii="宋体" w:hAnsi="宋体"/>
      <w:sz w:val="24"/>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link w:val="233"/>
    <w:qFormat/>
    <w:uiPriority w:val="0"/>
    <w:rPr>
      <w:rFonts w:hAnsi="Courier New" w:eastAsia="楷体_GB2312"/>
      <w:color w:val="000000"/>
      <w:sz w:val="26"/>
    </w:rPr>
  </w:style>
  <w:style w:type="paragraph" w:styleId="25">
    <w:name w:val="toc 8"/>
    <w:basedOn w:val="1"/>
    <w:next w:val="1"/>
    <w:unhideWhenUsed/>
    <w:qFormat/>
    <w:uiPriority w:val="39"/>
    <w:pPr>
      <w:spacing w:after="57"/>
      <w:ind w:left="1984"/>
    </w:pPr>
  </w:style>
  <w:style w:type="paragraph" w:styleId="26">
    <w:name w:val="Date"/>
    <w:basedOn w:val="1"/>
    <w:next w:val="1"/>
    <w:qFormat/>
    <w:uiPriority w:val="0"/>
    <w:rPr>
      <w:sz w:val="24"/>
      <w:szCs w:val="20"/>
    </w:rPr>
  </w:style>
  <w:style w:type="paragraph" w:styleId="27">
    <w:name w:val="Body Text Indent 2"/>
    <w:basedOn w:val="1"/>
    <w:qFormat/>
    <w:uiPriority w:val="0"/>
    <w:pPr>
      <w:ind w:firstLine="560"/>
    </w:pPr>
    <w:rPr>
      <w:rFonts w:ascii="宋体" w:hAnsi="宋体"/>
      <w:sz w:val="28"/>
    </w:rPr>
  </w:style>
  <w:style w:type="paragraph" w:styleId="28">
    <w:name w:val="endnote text"/>
    <w:basedOn w:val="1"/>
    <w:link w:val="231"/>
    <w:semiHidden/>
    <w:unhideWhenUsed/>
    <w:qFormat/>
    <w:uiPriority w:val="99"/>
    <w:rPr>
      <w:sz w:val="20"/>
    </w:rPr>
  </w:style>
  <w:style w:type="paragraph" w:styleId="29">
    <w:name w:val="Balloon Text"/>
    <w:basedOn w:val="1"/>
    <w:semiHidden/>
    <w:qFormat/>
    <w:uiPriority w:val="0"/>
    <w:rPr>
      <w:sz w:val="18"/>
      <w:szCs w:val="18"/>
    </w:rPr>
  </w:style>
  <w:style w:type="paragraph" w:styleId="30">
    <w:name w:val="footer"/>
    <w:basedOn w:val="1"/>
    <w:link w:val="104"/>
    <w:qFormat/>
    <w:uiPriority w:val="0"/>
    <w:pPr>
      <w:tabs>
        <w:tab w:val="center" w:pos="4153"/>
        <w:tab w:val="right" w:pos="8306"/>
      </w:tabs>
      <w:jc w:val="left"/>
    </w:pPr>
    <w:rPr>
      <w:sz w:val="18"/>
      <w:szCs w:val="20"/>
    </w:rPr>
  </w:style>
  <w:style w:type="paragraph" w:styleId="31">
    <w:name w:val="envelope return"/>
    <w:basedOn w:val="1"/>
    <w:qFormat/>
    <w:uiPriority w:val="99"/>
    <w:rPr>
      <w:rFonts w:ascii="Arial" w:hAnsi="Arial"/>
    </w:rPr>
  </w:style>
  <w:style w:type="paragraph" w:styleId="32">
    <w:name w:val="header"/>
    <w:basedOn w:val="1"/>
    <w:link w:val="102"/>
    <w:qFormat/>
    <w:uiPriority w:val="0"/>
    <w:pPr>
      <w:pBdr>
        <w:bottom w:val="single" w:color="000000" w:sz="6" w:space="1"/>
      </w:pBdr>
      <w:tabs>
        <w:tab w:val="center" w:pos="4153"/>
        <w:tab w:val="right" w:pos="8306"/>
      </w:tabs>
      <w:jc w:val="center"/>
    </w:pPr>
    <w:rPr>
      <w:sz w:val="18"/>
      <w:szCs w:val="18"/>
    </w:rPr>
  </w:style>
  <w:style w:type="paragraph" w:styleId="33">
    <w:name w:val="toc 1"/>
    <w:basedOn w:val="1"/>
    <w:next w:val="1"/>
    <w:unhideWhenUsed/>
    <w:qFormat/>
    <w:uiPriority w:val="39"/>
    <w:pPr>
      <w:spacing w:after="57"/>
    </w:pPr>
  </w:style>
  <w:style w:type="paragraph" w:styleId="34">
    <w:name w:val="toc 4"/>
    <w:basedOn w:val="1"/>
    <w:next w:val="1"/>
    <w:unhideWhenUsed/>
    <w:qFormat/>
    <w:uiPriority w:val="39"/>
    <w:pPr>
      <w:spacing w:after="57"/>
      <w:ind w:left="850"/>
    </w:pPr>
  </w:style>
  <w:style w:type="paragraph" w:styleId="35">
    <w:name w:val="Subtitle"/>
    <w:basedOn w:val="1"/>
    <w:next w:val="1"/>
    <w:link w:val="244"/>
    <w:qFormat/>
    <w:uiPriority w:val="0"/>
    <w:pPr>
      <w:spacing w:before="240" w:after="60" w:line="312" w:lineRule="auto"/>
      <w:jc w:val="center"/>
      <w:outlineLvl w:val="1"/>
    </w:pPr>
    <w:rPr>
      <w:rFonts w:ascii="Cambria" w:hAnsi="Cambria"/>
      <w:b/>
      <w:bCs/>
      <w:sz w:val="32"/>
      <w:szCs w:val="32"/>
    </w:rPr>
  </w:style>
  <w:style w:type="paragraph" w:styleId="36">
    <w:name w:val="footnote text"/>
    <w:basedOn w:val="1"/>
    <w:link w:val="230"/>
    <w:semiHidden/>
    <w:unhideWhenUsed/>
    <w:qFormat/>
    <w:uiPriority w:val="99"/>
    <w:pPr>
      <w:spacing w:after="40"/>
    </w:pPr>
    <w:rPr>
      <w:sz w:val="18"/>
    </w:rPr>
  </w:style>
  <w:style w:type="paragraph" w:styleId="37">
    <w:name w:val="toc 6"/>
    <w:basedOn w:val="1"/>
    <w:next w:val="1"/>
    <w:unhideWhenUsed/>
    <w:qFormat/>
    <w:uiPriority w:val="39"/>
    <w:pPr>
      <w:spacing w:after="57"/>
      <w:ind w:left="1417"/>
    </w:pPr>
  </w:style>
  <w:style w:type="paragraph" w:styleId="38">
    <w:name w:val="Body Text Indent 3"/>
    <w:basedOn w:val="1"/>
    <w:qFormat/>
    <w:uiPriority w:val="0"/>
    <w:pPr>
      <w:ind w:firstLine="523"/>
    </w:pPr>
    <w:rPr>
      <w:rFonts w:ascii="仿宋_GB2312" w:hAnsi="宋体" w:eastAsia="仿宋_GB2312"/>
      <w:sz w:val="24"/>
    </w:rPr>
  </w:style>
  <w:style w:type="paragraph" w:styleId="39">
    <w:name w:val="table of figures"/>
    <w:basedOn w:val="1"/>
    <w:next w:val="1"/>
    <w:unhideWhenUsed/>
    <w:qFormat/>
    <w:uiPriority w:val="99"/>
  </w:style>
  <w:style w:type="paragraph" w:styleId="40">
    <w:name w:val="toc 2"/>
    <w:basedOn w:val="1"/>
    <w:next w:val="1"/>
    <w:unhideWhenUsed/>
    <w:qFormat/>
    <w:uiPriority w:val="39"/>
    <w:pPr>
      <w:spacing w:after="57"/>
      <w:ind w:left="283"/>
    </w:pPr>
  </w:style>
  <w:style w:type="paragraph" w:styleId="41">
    <w:name w:val="toc 9"/>
    <w:basedOn w:val="1"/>
    <w:next w:val="1"/>
    <w:unhideWhenUsed/>
    <w:qFormat/>
    <w:uiPriority w:val="39"/>
    <w:pPr>
      <w:spacing w:after="57"/>
      <w:ind w:left="2268"/>
    </w:pPr>
  </w:style>
  <w:style w:type="paragraph" w:styleId="42">
    <w:name w:val="Body Text 2"/>
    <w:basedOn w:val="1"/>
    <w:qFormat/>
    <w:uiPriority w:val="0"/>
    <w:pPr>
      <w:jc w:val="center"/>
    </w:pPr>
    <w:rPr>
      <w:rFonts w:ascii="仿宋_GB2312" w:eastAsia="仿宋_GB2312"/>
      <w:sz w:val="44"/>
    </w:rPr>
  </w:style>
  <w:style w:type="paragraph" w:styleId="43">
    <w:name w:val="Message Header"/>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Cambria" w:hAnsi="Cambria"/>
      <w:sz w:val="24"/>
    </w:rPr>
  </w:style>
  <w:style w:type="paragraph" w:styleId="44">
    <w:name w:val="HTML Preformatted"/>
    <w:basedOn w:val="1"/>
    <w:link w:val="24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styleId="45">
    <w:name w:val="Normal (Web)"/>
    <w:basedOn w:val="1"/>
    <w:unhideWhenUsed/>
    <w:qFormat/>
    <w:uiPriority w:val="0"/>
    <w:pPr>
      <w:widowControl/>
      <w:spacing w:before="100" w:beforeAutospacing="1" w:after="100" w:afterAutospacing="1"/>
      <w:jc w:val="left"/>
    </w:pPr>
    <w:rPr>
      <w:rFonts w:ascii="宋体" w:hAnsi="宋体" w:cs="宋体"/>
      <w:sz w:val="24"/>
    </w:rPr>
  </w:style>
  <w:style w:type="paragraph" w:styleId="46">
    <w:name w:val="index 1"/>
    <w:basedOn w:val="1"/>
    <w:next w:val="1"/>
    <w:semiHidden/>
    <w:qFormat/>
    <w:uiPriority w:val="0"/>
    <w:rPr>
      <w:rFonts w:ascii="宋体" w:hAnsi="宋体"/>
      <w:szCs w:val="18"/>
    </w:rPr>
  </w:style>
  <w:style w:type="paragraph" w:styleId="47">
    <w:name w:val="Title"/>
    <w:basedOn w:val="1"/>
    <w:next w:val="1"/>
    <w:link w:val="96"/>
    <w:qFormat/>
    <w:uiPriority w:val="10"/>
    <w:pPr>
      <w:spacing w:before="300" w:after="200"/>
      <w:contextualSpacing/>
    </w:pPr>
    <w:rPr>
      <w:sz w:val="48"/>
      <w:szCs w:val="48"/>
    </w:rPr>
  </w:style>
  <w:style w:type="paragraph" w:styleId="48">
    <w:name w:val="annotation subject"/>
    <w:basedOn w:val="16"/>
    <w:next w:val="16"/>
    <w:link w:val="236"/>
    <w:qFormat/>
    <w:uiPriority w:val="0"/>
    <w:rPr>
      <w:b/>
      <w:bCs/>
    </w:rPr>
  </w:style>
  <w:style w:type="table" w:styleId="50">
    <w:name w:val="Table Grid"/>
    <w:basedOn w:val="49"/>
    <w:qFormat/>
    <w:uiPriority w:val="0"/>
    <w:pPr>
      <w:widowControl w:val="0"/>
      <w:jc w:val="both"/>
    </w:pPr>
    <w:tblPr>
      <w:tblCellMar>
        <w:top w:w="0" w:type="dxa"/>
        <w:left w:w="108" w:type="dxa"/>
        <w:bottom w:w="0" w:type="dxa"/>
        <w:right w:w="108" w:type="dxa"/>
      </w:tblCellMar>
    </w:tblPr>
  </w:style>
  <w:style w:type="character" w:styleId="52">
    <w:name w:val="Strong"/>
    <w:qFormat/>
    <w:uiPriority w:val="0"/>
    <w:rPr>
      <w:b/>
      <w:bCs/>
    </w:rPr>
  </w:style>
  <w:style w:type="character" w:styleId="53">
    <w:name w:val="endnote reference"/>
    <w:semiHidden/>
    <w:unhideWhenUsed/>
    <w:qFormat/>
    <w:uiPriority w:val="99"/>
    <w:rPr>
      <w:vertAlign w:val="superscript"/>
    </w:rPr>
  </w:style>
  <w:style w:type="character" w:styleId="54">
    <w:name w:val="page number"/>
    <w:basedOn w:val="51"/>
    <w:qFormat/>
    <w:uiPriority w:val="0"/>
  </w:style>
  <w:style w:type="character" w:styleId="55">
    <w:name w:val="HTML Definition"/>
    <w:qFormat/>
    <w:uiPriority w:val="0"/>
  </w:style>
  <w:style w:type="character" w:styleId="56">
    <w:name w:val="HTML Typewriter"/>
    <w:qFormat/>
    <w:uiPriority w:val="0"/>
    <w:rPr>
      <w:rFonts w:ascii="monospace" w:hAnsi="monospace" w:eastAsia="monospace" w:cs="monospace"/>
      <w:sz w:val="20"/>
    </w:rPr>
  </w:style>
  <w:style w:type="character" w:styleId="57">
    <w:name w:val="HTML Acronym"/>
    <w:basedOn w:val="51"/>
    <w:qFormat/>
    <w:uiPriority w:val="0"/>
  </w:style>
  <w:style w:type="character" w:styleId="58">
    <w:name w:val="HTML Variable"/>
    <w:qFormat/>
    <w:uiPriority w:val="0"/>
  </w:style>
  <w:style w:type="character" w:styleId="59">
    <w:name w:val="Hyperlink"/>
    <w:qFormat/>
    <w:uiPriority w:val="99"/>
    <w:rPr>
      <w:color w:val="0000FF"/>
      <w:u w:val="none"/>
    </w:rPr>
  </w:style>
  <w:style w:type="character" w:styleId="60">
    <w:name w:val="HTML Code"/>
    <w:qFormat/>
    <w:uiPriority w:val="0"/>
    <w:rPr>
      <w:rFonts w:ascii="monospace" w:hAnsi="monospace" w:eastAsia="monospace" w:cs="monospace"/>
      <w:sz w:val="20"/>
    </w:rPr>
  </w:style>
  <w:style w:type="character" w:styleId="61">
    <w:name w:val="annotation reference"/>
    <w:qFormat/>
    <w:uiPriority w:val="0"/>
    <w:rPr>
      <w:sz w:val="21"/>
      <w:szCs w:val="21"/>
    </w:rPr>
  </w:style>
  <w:style w:type="character" w:styleId="62">
    <w:name w:val="HTML Cite"/>
    <w:qFormat/>
    <w:uiPriority w:val="0"/>
  </w:style>
  <w:style w:type="character" w:styleId="63">
    <w:name w:val="footnote reference"/>
    <w:unhideWhenUsed/>
    <w:qFormat/>
    <w:uiPriority w:val="99"/>
    <w:rPr>
      <w:vertAlign w:val="superscript"/>
    </w:rPr>
  </w:style>
  <w:style w:type="character" w:styleId="64">
    <w:name w:val="HTML Keyboard"/>
    <w:qFormat/>
    <w:uiPriority w:val="0"/>
    <w:rPr>
      <w:rFonts w:ascii="monospace" w:hAnsi="monospace" w:eastAsia="monospace" w:cs="monospace"/>
      <w:sz w:val="20"/>
    </w:rPr>
  </w:style>
  <w:style w:type="character" w:styleId="65">
    <w:name w:val="HTML Sample"/>
    <w:qFormat/>
    <w:uiPriority w:val="0"/>
    <w:rPr>
      <w:rFonts w:ascii="monospace" w:hAnsi="monospace" w:eastAsia="monospace" w:cs="monospace"/>
    </w:rPr>
  </w:style>
  <w:style w:type="paragraph" w:customStyle="1" w:styleId="66">
    <w:name w:val="Default"/>
    <w:qFormat/>
    <w:uiPriority w:val="0"/>
    <w:pPr>
      <w:widowControl w:val="0"/>
    </w:pPr>
    <w:rPr>
      <w:rFonts w:hint="default" w:ascii="宋体" w:hAnsi="Calibri" w:eastAsia="宋体" w:cs="宋体"/>
      <w:color w:val="000000"/>
      <w:sz w:val="24"/>
      <w:szCs w:val="24"/>
      <w:lang w:val="en-US" w:eastAsia="zh-CN" w:bidi="ar-SA"/>
    </w:rPr>
  </w:style>
  <w:style w:type="paragraph" w:customStyle="1" w:styleId="67">
    <w:name w:val="正文1"/>
    <w:basedOn w:val="68"/>
    <w:next w:val="1"/>
    <w:qFormat/>
    <w:uiPriority w:val="0"/>
    <w:pPr>
      <w:spacing w:line="500" w:lineRule="exact"/>
      <w:ind w:firstLine="0"/>
    </w:pPr>
    <w:rPr>
      <w:rFonts w:hAnsi="新宋体"/>
    </w:rPr>
  </w:style>
  <w:style w:type="paragraph" w:customStyle="1" w:styleId="68">
    <w:name w:val="正文缩进1"/>
    <w:basedOn w:val="1"/>
    <w:qFormat/>
    <w:uiPriority w:val="0"/>
    <w:pPr>
      <w:spacing w:line="360" w:lineRule="atLeast"/>
      <w:ind w:firstLine="420"/>
    </w:pPr>
    <w:rPr>
      <w:szCs w:val="20"/>
    </w:rPr>
  </w:style>
  <w:style w:type="paragraph" w:customStyle="1" w:styleId="69">
    <w:name w:val="Quote1"/>
    <w:basedOn w:val="1"/>
    <w:next w:val="1"/>
    <w:qFormat/>
    <w:uiPriority w:val="99"/>
    <w:pPr>
      <w:widowControl/>
      <w:spacing w:before="200" w:after="160"/>
      <w:ind w:left="864" w:right="864"/>
      <w:jc w:val="center"/>
    </w:pPr>
    <w:rPr>
      <w:rFonts w:ascii="宋体"/>
      <w:i/>
      <w:color w:val="404040"/>
    </w:rPr>
  </w:style>
  <w:style w:type="character" w:customStyle="1" w:styleId="70">
    <w:name w:val="Heading 2 Char"/>
    <w:basedOn w:val="51"/>
    <w:qFormat/>
    <w:uiPriority w:val="9"/>
    <w:rPr>
      <w:rFonts w:ascii="Arial" w:hAnsi="Arial" w:eastAsia="Arial" w:cs="Arial"/>
      <w:sz w:val="34"/>
    </w:rPr>
  </w:style>
  <w:style w:type="character" w:customStyle="1" w:styleId="71">
    <w:name w:val="Heading 3 Char"/>
    <w:basedOn w:val="51"/>
    <w:qFormat/>
    <w:uiPriority w:val="9"/>
    <w:rPr>
      <w:rFonts w:ascii="Arial" w:hAnsi="Arial" w:eastAsia="Arial" w:cs="Arial"/>
      <w:sz w:val="30"/>
      <w:szCs w:val="30"/>
    </w:rPr>
  </w:style>
  <w:style w:type="character" w:customStyle="1" w:styleId="72">
    <w:name w:val="Heading 4 Char"/>
    <w:basedOn w:val="51"/>
    <w:qFormat/>
    <w:uiPriority w:val="9"/>
    <w:rPr>
      <w:rFonts w:ascii="Arial" w:hAnsi="Arial" w:eastAsia="Arial" w:cs="Arial"/>
      <w:b/>
      <w:bCs/>
      <w:sz w:val="26"/>
      <w:szCs w:val="26"/>
    </w:rPr>
  </w:style>
  <w:style w:type="character" w:customStyle="1" w:styleId="73">
    <w:name w:val="Heading 5 Char"/>
    <w:basedOn w:val="51"/>
    <w:qFormat/>
    <w:uiPriority w:val="9"/>
    <w:rPr>
      <w:rFonts w:ascii="Arial" w:hAnsi="Arial" w:eastAsia="Arial" w:cs="Arial"/>
      <w:b/>
      <w:bCs/>
      <w:sz w:val="24"/>
      <w:szCs w:val="24"/>
    </w:rPr>
  </w:style>
  <w:style w:type="character" w:customStyle="1" w:styleId="74">
    <w:name w:val="Heading 6 Char"/>
    <w:basedOn w:val="51"/>
    <w:qFormat/>
    <w:uiPriority w:val="9"/>
    <w:rPr>
      <w:rFonts w:ascii="Arial" w:hAnsi="Arial" w:eastAsia="Arial" w:cs="Arial"/>
      <w:b/>
      <w:bCs/>
      <w:sz w:val="22"/>
      <w:szCs w:val="22"/>
    </w:rPr>
  </w:style>
  <w:style w:type="character" w:customStyle="1" w:styleId="75">
    <w:name w:val="Heading 7 Char"/>
    <w:basedOn w:val="51"/>
    <w:qFormat/>
    <w:uiPriority w:val="9"/>
    <w:rPr>
      <w:rFonts w:ascii="Arial" w:hAnsi="Arial" w:eastAsia="Arial" w:cs="Arial"/>
      <w:b/>
      <w:bCs/>
      <w:i/>
      <w:iCs/>
      <w:sz w:val="22"/>
      <w:szCs w:val="22"/>
    </w:rPr>
  </w:style>
  <w:style w:type="character" w:customStyle="1" w:styleId="76">
    <w:name w:val="Heading 8 Char"/>
    <w:basedOn w:val="51"/>
    <w:qFormat/>
    <w:uiPriority w:val="9"/>
    <w:rPr>
      <w:rFonts w:ascii="Arial" w:hAnsi="Arial" w:eastAsia="Arial" w:cs="Arial"/>
      <w:i/>
      <w:iCs/>
      <w:sz w:val="22"/>
      <w:szCs w:val="22"/>
    </w:rPr>
  </w:style>
  <w:style w:type="character" w:customStyle="1" w:styleId="77">
    <w:name w:val="Heading 9 Char"/>
    <w:basedOn w:val="51"/>
    <w:qFormat/>
    <w:uiPriority w:val="9"/>
    <w:rPr>
      <w:rFonts w:ascii="Arial" w:hAnsi="Arial" w:eastAsia="Arial" w:cs="Arial"/>
      <w:i/>
      <w:iCs/>
      <w:sz w:val="21"/>
      <w:szCs w:val="21"/>
    </w:rPr>
  </w:style>
  <w:style w:type="character" w:customStyle="1" w:styleId="78">
    <w:name w:val="Title Char"/>
    <w:basedOn w:val="51"/>
    <w:qFormat/>
    <w:uiPriority w:val="10"/>
    <w:rPr>
      <w:sz w:val="48"/>
      <w:szCs w:val="48"/>
    </w:rPr>
  </w:style>
  <w:style w:type="character" w:customStyle="1" w:styleId="79">
    <w:name w:val="Quote Char"/>
    <w:qFormat/>
    <w:uiPriority w:val="29"/>
    <w:rPr>
      <w:i/>
    </w:rPr>
  </w:style>
  <w:style w:type="character" w:customStyle="1" w:styleId="80">
    <w:name w:val="Intense Quote Char"/>
    <w:qFormat/>
    <w:uiPriority w:val="30"/>
    <w:rPr>
      <w:i/>
    </w:rPr>
  </w:style>
  <w:style w:type="character" w:customStyle="1" w:styleId="81">
    <w:name w:val="Header Char"/>
    <w:basedOn w:val="51"/>
    <w:qFormat/>
    <w:uiPriority w:val="99"/>
  </w:style>
  <w:style w:type="character" w:customStyle="1" w:styleId="82">
    <w:name w:val="Caption Char"/>
    <w:qFormat/>
    <w:uiPriority w:val="99"/>
  </w:style>
  <w:style w:type="character" w:customStyle="1" w:styleId="83">
    <w:name w:val="Footnote Text Char"/>
    <w:qFormat/>
    <w:uiPriority w:val="99"/>
    <w:rPr>
      <w:sz w:val="18"/>
    </w:rPr>
  </w:style>
  <w:style w:type="character" w:customStyle="1" w:styleId="84">
    <w:name w:val="Endnote Text Char"/>
    <w:qFormat/>
    <w:uiPriority w:val="99"/>
    <w:rPr>
      <w:sz w:val="20"/>
    </w:rPr>
  </w:style>
  <w:style w:type="paragraph" w:customStyle="1" w:styleId="85">
    <w:name w:val="标题 11"/>
    <w:next w:val="1"/>
    <w:qFormat/>
    <w:uiPriority w:val="0"/>
    <w:pPr>
      <w:keepNext/>
      <w:widowControl w:val="0"/>
      <w:jc w:val="both"/>
      <w:outlineLvl w:val="0"/>
    </w:pPr>
    <w:rPr>
      <w:rFonts w:hint="default" w:ascii="楷体_GB2312" w:hAnsi="Times New Roman" w:eastAsia="楷体_GB2312" w:cs="Times New Roman"/>
      <w:sz w:val="28"/>
      <w:szCs w:val="20"/>
      <w:lang w:val="en-US" w:eastAsia="zh-CN" w:bidi="ar-SA"/>
    </w:rPr>
  </w:style>
  <w:style w:type="character" w:customStyle="1" w:styleId="86">
    <w:name w:val="Heading 1 Char"/>
    <w:qFormat/>
    <w:uiPriority w:val="9"/>
    <w:rPr>
      <w:rFonts w:ascii="Arial" w:hAnsi="Arial" w:eastAsia="Arial" w:cs="Arial"/>
      <w:sz w:val="40"/>
      <w:szCs w:val="40"/>
    </w:rPr>
  </w:style>
  <w:style w:type="character" w:customStyle="1" w:styleId="87">
    <w:name w:val="标题 2 Char"/>
    <w:link w:val="4"/>
    <w:qFormat/>
    <w:uiPriority w:val="9"/>
    <w:rPr>
      <w:rFonts w:ascii="Arial" w:hAnsi="Arial" w:eastAsia="Arial" w:cs="Arial"/>
      <w:sz w:val="34"/>
    </w:rPr>
  </w:style>
  <w:style w:type="character" w:customStyle="1" w:styleId="88">
    <w:name w:val="标题 3 Char"/>
    <w:link w:val="5"/>
    <w:qFormat/>
    <w:uiPriority w:val="9"/>
    <w:rPr>
      <w:rFonts w:ascii="Arial" w:hAnsi="Arial" w:eastAsia="Arial" w:cs="Arial"/>
      <w:sz w:val="30"/>
      <w:szCs w:val="30"/>
    </w:rPr>
  </w:style>
  <w:style w:type="character" w:customStyle="1" w:styleId="89">
    <w:name w:val="标题 4 Char"/>
    <w:link w:val="6"/>
    <w:qFormat/>
    <w:uiPriority w:val="9"/>
    <w:rPr>
      <w:rFonts w:ascii="Arial" w:hAnsi="Arial" w:eastAsia="Arial" w:cs="Arial"/>
      <w:b/>
      <w:bCs/>
      <w:sz w:val="26"/>
      <w:szCs w:val="26"/>
    </w:rPr>
  </w:style>
  <w:style w:type="character" w:customStyle="1" w:styleId="90">
    <w:name w:val="标题 5 Char"/>
    <w:link w:val="7"/>
    <w:qFormat/>
    <w:uiPriority w:val="9"/>
    <w:rPr>
      <w:rFonts w:ascii="Arial" w:hAnsi="Arial" w:eastAsia="Arial" w:cs="Arial"/>
      <w:b/>
      <w:bCs/>
      <w:sz w:val="24"/>
      <w:szCs w:val="24"/>
    </w:rPr>
  </w:style>
  <w:style w:type="character" w:customStyle="1" w:styleId="91">
    <w:name w:val="标题 6 Char"/>
    <w:link w:val="8"/>
    <w:qFormat/>
    <w:uiPriority w:val="9"/>
    <w:rPr>
      <w:rFonts w:ascii="Arial" w:hAnsi="Arial" w:eastAsia="Arial" w:cs="Arial"/>
      <w:b/>
      <w:bCs/>
      <w:sz w:val="22"/>
      <w:szCs w:val="22"/>
    </w:rPr>
  </w:style>
  <w:style w:type="character" w:customStyle="1" w:styleId="92">
    <w:name w:val="标题 7 Char"/>
    <w:link w:val="9"/>
    <w:qFormat/>
    <w:uiPriority w:val="9"/>
    <w:rPr>
      <w:rFonts w:ascii="Arial" w:hAnsi="Arial" w:eastAsia="Arial" w:cs="Arial"/>
      <w:b/>
      <w:bCs/>
      <w:i/>
      <w:iCs/>
      <w:sz w:val="22"/>
      <w:szCs w:val="22"/>
    </w:rPr>
  </w:style>
  <w:style w:type="character" w:customStyle="1" w:styleId="93">
    <w:name w:val="标题 8 Char"/>
    <w:link w:val="10"/>
    <w:qFormat/>
    <w:uiPriority w:val="9"/>
    <w:rPr>
      <w:rFonts w:ascii="Arial" w:hAnsi="Arial" w:eastAsia="Arial" w:cs="Arial"/>
      <w:i/>
      <w:iCs/>
      <w:sz w:val="22"/>
      <w:szCs w:val="22"/>
    </w:rPr>
  </w:style>
  <w:style w:type="character" w:customStyle="1" w:styleId="94">
    <w:name w:val="标题 9 Char"/>
    <w:link w:val="11"/>
    <w:qFormat/>
    <w:uiPriority w:val="9"/>
    <w:rPr>
      <w:rFonts w:ascii="Arial" w:hAnsi="Arial" w:eastAsia="Arial" w:cs="Arial"/>
      <w:i/>
      <w:iCs/>
      <w:sz w:val="21"/>
      <w:szCs w:val="21"/>
    </w:rPr>
  </w:style>
  <w:style w:type="paragraph" w:styleId="95">
    <w:name w:val="No Spacing"/>
    <w:qFormat/>
    <w:uiPriority w:val="1"/>
    <w:rPr>
      <w:rFonts w:hint="default" w:ascii="Calibri" w:hAnsi="Calibri" w:eastAsia="宋体" w:cs="Times New Roman"/>
      <w:lang w:val="en-US" w:eastAsia="zh-CN" w:bidi="ar-SA"/>
    </w:rPr>
  </w:style>
  <w:style w:type="character" w:customStyle="1" w:styleId="96">
    <w:name w:val="标题 Char"/>
    <w:link w:val="47"/>
    <w:qFormat/>
    <w:uiPriority w:val="10"/>
    <w:rPr>
      <w:sz w:val="48"/>
      <w:szCs w:val="48"/>
    </w:rPr>
  </w:style>
  <w:style w:type="character" w:customStyle="1" w:styleId="97">
    <w:name w:val="Subtitle Char"/>
    <w:qFormat/>
    <w:uiPriority w:val="11"/>
    <w:rPr>
      <w:sz w:val="24"/>
      <w:szCs w:val="24"/>
    </w:rPr>
  </w:style>
  <w:style w:type="paragraph" w:styleId="98">
    <w:name w:val="Quote"/>
    <w:basedOn w:val="1"/>
    <w:next w:val="1"/>
    <w:link w:val="99"/>
    <w:qFormat/>
    <w:uiPriority w:val="29"/>
    <w:pPr>
      <w:ind w:left="720" w:right="720"/>
    </w:pPr>
    <w:rPr>
      <w:i/>
    </w:rPr>
  </w:style>
  <w:style w:type="character" w:customStyle="1" w:styleId="99">
    <w:name w:val="引用 Char"/>
    <w:link w:val="98"/>
    <w:qFormat/>
    <w:uiPriority w:val="29"/>
    <w:rPr>
      <w:i/>
    </w:rPr>
  </w:style>
  <w:style w:type="paragraph" w:styleId="100">
    <w:name w:val="Intense Quote"/>
    <w:basedOn w:val="1"/>
    <w:next w:val="1"/>
    <w:link w:val="10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1">
    <w:name w:val="明显引用 Char"/>
    <w:link w:val="100"/>
    <w:qFormat/>
    <w:uiPriority w:val="30"/>
    <w:rPr>
      <w:i/>
    </w:rPr>
  </w:style>
  <w:style w:type="character" w:customStyle="1" w:styleId="102">
    <w:name w:val="页眉 Char"/>
    <w:link w:val="32"/>
    <w:qFormat/>
    <w:uiPriority w:val="99"/>
  </w:style>
  <w:style w:type="character" w:customStyle="1" w:styleId="103">
    <w:name w:val="Footer Char"/>
    <w:qFormat/>
    <w:uiPriority w:val="99"/>
  </w:style>
  <w:style w:type="character" w:customStyle="1" w:styleId="104">
    <w:name w:val="页脚 Char"/>
    <w:link w:val="30"/>
    <w:qFormat/>
    <w:uiPriority w:val="99"/>
  </w:style>
  <w:style w:type="table" w:customStyle="1" w:styleId="105">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6">
    <w:name w:val="Plain Table 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7">
    <w:name w:val="Plain Table 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08">
    <w:name w:val="Plain Table 3"/>
    <w:qFormat/>
    <w:uiPriority w:val="99"/>
    <w:tblPr>
      <w:tblCellMar>
        <w:top w:w="0" w:type="dxa"/>
        <w:left w:w="0" w:type="dxa"/>
        <w:bottom w:w="0" w:type="dxa"/>
        <w:right w:w="0" w:type="dxa"/>
      </w:tblCellMar>
    </w:tblPr>
  </w:style>
  <w:style w:type="table" w:customStyle="1" w:styleId="109">
    <w:name w:val="Plain Table 4"/>
    <w:qFormat/>
    <w:uiPriority w:val="99"/>
    <w:tblPr>
      <w:tblCellMar>
        <w:top w:w="0" w:type="dxa"/>
        <w:left w:w="0" w:type="dxa"/>
        <w:bottom w:w="0" w:type="dxa"/>
        <w:right w:w="0" w:type="dxa"/>
      </w:tblCellMar>
    </w:tblPr>
  </w:style>
  <w:style w:type="table" w:customStyle="1" w:styleId="110">
    <w:name w:val="Plain Table 5"/>
    <w:qFormat/>
    <w:uiPriority w:val="99"/>
    <w:tblPr>
      <w:tblCellMar>
        <w:top w:w="0" w:type="dxa"/>
        <w:left w:w="0" w:type="dxa"/>
        <w:bottom w:w="0" w:type="dxa"/>
        <w:right w:w="0" w:type="dxa"/>
      </w:tblCellMar>
    </w:tblPr>
  </w:style>
  <w:style w:type="table" w:customStyle="1" w:styleId="111">
    <w:name w:val="Grid Table 1 Light"/>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12">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13">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14">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15">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16">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17">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18">
    <w:name w:val="Grid Table 2"/>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9">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0">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1">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2">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3">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4">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5">
    <w:name w:val="Grid Table 3"/>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6">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7">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8">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9">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0">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1">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2">
    <w:name w:val="Grid Table 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33">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34">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35">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36">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37">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8">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9">
    <w:name w:val="Grid Table 5 Dark"/>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0">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1">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2">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3">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4">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5">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6">
    <w:name w:val="Grid Table 6 Colorful"/>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7">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8">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9">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0">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1">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2">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3">
    <w:name w:val="Grid Table 7 Colorful"/>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4">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5">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6">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7">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8">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9">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60">
    <w:name w:val="List Table 1 Light"/>
    <w:qFormat/>
    <w:uiPriority w:val="99"/>
    <w:tblPr>
      <w:tblCellMar>
        <w:top w:w="0" w:type="dxa"/>
        <w:left w:w="0" w:type="dxa"/>
        <w:bottom w:w="0" w:type="dxa"/>
        <w:right w:w="0" w:type="dxa"/>
      </w:tblCellMar>
    </w:tblPr>
  </w:style>
  <w:style w:type="table" w:customStyle="1" w:styleId="161">
    <w:name w:val="List Table 1 Light - Accent 1"/>
    <w:qFormat/>
    <w:uiPriority w:val="99"/>
    <w:tblPr>
      <w:tblCellMar>
        <w:top w:w="0" w:type="dxa"/>
        <w:left w:w="0" w:type="dxa"/>
        <w:bottom w:w="0" w:type="dxa"/>
        <w:right w:w="0" w:type="dxa"/>
      </w:tblCellMar>
    </w:tblPr>
  </w:style>
  <w:style w:type="table" w:customStyle="1" w:styleId="162">
    <w:name w:val="List Table 1 Light - Accent 2"/>
    <w:qFormat/>
    <w:uiPriority w:val="99"/>
    <w:tblPr>
      <w:tblCellMar>
        <w:top w:w="0" w:type="dxa"/>
        <w:left w:w="0" w:type="dxa"/>
        <w:bottom w:w="0" w:type="dxa"/>
        <w:right w:w="0" w:type="dxa"/>
      </w:tblCellMar>
    </w:tblPr>
  </w:style>
  <w:style w:type="table" w:customStyle="1" w:styleId="163">
    <w:name w:val="List Table 1 Light - Accent 3"/>
    <w:qFormat/>
    <w:uiPriority w:val="99"/>
    <w:tblPr>
      <w:tblCellMar>
        <w:top w:w="0" w:type="dxa"/>
        <w:left w:w="0" w:type="dxa"/>
        <w:bottom w:w="0" w:type="dxa"/>
        <w:right w:w="0" w:type="dxa"/>
      </w:tblCellMar>
    </w:tblPr>
  </w:style>
  <w:style w:type="table" w:customStyle="1" w:styleId="164">
    <w:name w:val="List Table 1 Light - Accent 4"/>
    <w:qFormat/>
    <w:uiPriority w:val="99"/>
    <w:tblPr>
      <w:tblCellMar>
        <w:top w:w="0" w:type="dxa"/>
        <w:left w:w="0" w:type="dxa"/>
        <w:bottom w:w="0" w:type="dxa"/>
        <w:right w:w="0" w:type="dxa"/>
      </w:tblCellMar>
    </w:tblPr>
  </w:style>
  <w:style w:type="table" w:customStyle="1" w:styleId="165">
    <w:name w:val="List Table 1 Light - Accent 5"/>
    <w:qFormat/>
    <w:uiPriority w:val="99"/>
    <w:tblPr>
      <w:tblCellMar>
        <w:top w:w="0" w:type="dxa"/>
        <w:left w:w="0" w:type="dxa"/>
        <w:bottom w:w="0" w:type="dxa"/>
        <w:right w:w="0" w:type="dxa"/>
      </w:tblCellMar>
    </w:tblPr>
  </w:style>
  <w:style w:type="table" w:customStyle="1" w:styleId="166">
    <w:name w:val="List Table 1 Light - Accent 6"/>
    <w:qFormat/>
    <w:uiPriority w:val="99"/>
    <w:tblPr>
      <w:tblCellMar>
        <w:top w:w="0" w:type="dxa"/>
        <w:left w:w="0" w:type="dxa"/>
        <w:bottom w:w="0" w:type="dxa"/>
        <w:right w:w="0" w:type="dxa"/>
      </w:tblCellMar>
    </w:tblPr>
  </w:style>
  <w:style w:type="table" w:customStyle="1" w:styleId="167">
    <w:name w:val="List Table 2"/>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68">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69">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70">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71">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72">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73">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74">
    <w:name w:val="List Table 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75">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76">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77">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78">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79">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80">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81">
    <w:name w:val="List Table 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82">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83">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84">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85">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86">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87">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88">
    <w:name w:val="List Table 5 Dark"/>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89">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90">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91">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92">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93">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94">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95">
    <w:name w:val="List Table 6 Colorful"/>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96">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97">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98">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99">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00">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01">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02">
    <w:name w:val="List Table 7 Colorful"/>
    <w:qFormat/>
    <w:uiPriority w:val="99"/>
    <w:tblPr>
      <w:tblBorders>
        <w:right w:val="single" w:color="7F7F7F" w:sz="4" w:space="0"/>
      </w:tblBorders>
      <w:tblCellMar>
        <w:top w:w="0" w:type="dxa"/>
        <w:left w:w="0" w:type="dxa"/>
        <w:bottom w:w="0" w:type="dxa"/>
        <w:right w:w="0" w:type="dxa"/>
      </w:tblCellMar>
    </w:tblPr>
  </w:style>
  <w:style w:type="table" w:customStyle="1" w:styleId="203">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04">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05">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06">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07">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08">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09">
    <w:name w:val="Lined - Accent"/>
    <w:qFormat/>
    <w:uiPriority w:val="99"/>
    <w:rPr>
      <w:color w:val="404040"/>
    </w:rPr>
    <w:tblPr>
      <w:tblCellMar>
        <w:top w:w="0" w:type="dxa"/>
        <w:left w:w="0" w:type="dxa"/>
        <w:bottom w:w="0" w:type="dxa"/>
        <w:right w:w="0" w:type="dxa"/>
      </w:tblCellMar>
    </w:tblPr>
  </w:style>
  <w:style w:type="table" w:customStyle="1" w:styleId="210">
    <w:name w:val="Lined - Accent 1"/>
    <w:qFormat/>
    <w:uiPriority w:val="99"/>
    <w:rPr>
      <w:color w:val="404040"/>
    </w:rPr>
    <w:tblPr>
      <w:tblCellMar>
        <w:top w:w="0" w:type="dxa"/>
        <w:left w:w="0" w:type="dxa"/>
        <w:bottom w:w="0" w:type="dxa"/>
        <w:right w:w="0" w:type="dxa"/>
      </w:tblCellMar>
    </w:tblPr>
  </w:style>
  <w:style w:type="table" w:customStyle="1" w:styleId="211">
    <w:name w:val="Lined - Accent 2"/>
    <w:qFormat/>
    <w:uiPriority w:val="99"/>
    <w:rPr>
      <w:color w:val="404040"/>
    </w:rPr>
    <w:tblPr>
      <w:tblCellMar>
        <w:top w:w="0" w:type="dxa"/>
        <w:left w:w="0" w:type="dxa"/>
        <w:bottom w:w="0" w:type="dxa"/>
        <w:right w:w="0" w:type="dxa"/>
      </w:tblCellMar>
    </w:tblPr>
  </w:style>
  <w:style w:type="table" w:customStyle="1" w:styleId="212">
    <w:name w:val="Lined - Accent 3"/>
    <w:qFormat/>
    <w:uiPriority w:val="99"/>
    <w:rPr>
      <w:color w:val="404040"/>
    </w:rPr>
    <w:tblPr>
      <w:tblCellMar>
        <w:top w:w="0" w:type="dxa"/>
        <w:left w:w="0" w:type="dxa"/>
        <w:bottom w:w="0" w:type="dxa"/>
        <w:right w:w="0" w:type="dxa"/>
      </w:tblCellMar>
    </w:tblPr>
  </w:style>
  <w:style w:type="table" w:customStyle="1" w:styleId="213">
    <w:name w:val="Lined - Accent 4"/>
    <w:qFormat/>
    <w:uiPriority w:val="99"/>
    <w:rPr>
      <w:color w:val="404040"/>
    </w:rPr>
    <w:tblPr>
      <w:tblCellMar>
        <w:top w:w="0" w:type="dxa"/>
        <w:left w:w="0" w:type="dxa"/>
        <w:bottom w:w="0" w:type="dxa"/>
        <w:right w:w="0" w:type="dxa"/>
      </w:tblCellMar>
    </w:tblPr>
  </w:style>
  <w:style w:type="table" w:customStyle="1" w:styleId="214">
    <w:name w:val="Lined - Accent 5"/>
    <w:qFormat/>
    <w:uiPriority w:val="99"/>
    <w:rPr>
      <w:color w:val="404040"/>
    </w:rPr>
    <w:tblPr>
      <w:tblCellMar>
        <w:top w:w="0" w:type="dxa"/>
        <w:left w:w="0" w:type="dxa"/>
        <w:bottom w:w="0" w:type="dxa"/>
        <w:right w:w="0" w:type="dxa"/>
      </w:tblCellMar>
    </w:tblPr>
  </w:style>
  <w:style w:type="table" w:customStyle="1" w:styleId="215">
    <w:name w:val="Lined - Accent 6"/>
    <w:qFormat/>
    <w:uiPriority w:val="99"/>
    <w:rPr>
      <w:color w:val="404040"/>
    </w:rPr>
    <w:tblPr>
      <w:tblCellMar>
        <w:top w:w="0" w:type="dxa"/>
        <w:left w:w="0" w:type="dxa"/>
        <w:bottom w:w="0" w:type="dxa"/>
        <w:right w:w="0" w:type="dxa"/>
      </w:tblCellMar>
    </w:tblPr>
  </w:style>
  <w:style w:type="table" w:customStyle="1" w:styleId="216">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17">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18">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19">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20">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21">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22">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23">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24">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25">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26">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27">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28">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29">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30">
    <w:name w:val="脚注文本 Char"/>
    <w:link w:val="36"/>
    <w:qFormat/>
    <w:uiPriority w:val="99"/>
    <w:rPr>
      <w:sz w:val="18"/>
    </w:rPr>
  </w:style>
  <w:style w:type="character" w:customStyle="1" w:styleId="231">
    <w:name w:val="尾注文本 Char"/>
    <w:link w:val="28"/>
    <w:qFormat/>
    <w:uiPriority w:val="99"/>
    <w:rPr>
      <w:sz w:val="20"/>
    </w:rPr>
  </w:style>
  <w:style w:type="paragraph" w:customStyle="1" w:styleId="232">
    <w:name w:val="TOC Heading"/>
    <w:basedOn w:val="3"/>
    <w:next w:val="1"/>
    <w:qFormat/>
    <w:uiPriority w:val="39"/>
    <w:pPr>
      <w:keepLines/>
      <w:widowControl/>
      <w:spacing w:before="480" w:line="276" w:lineRule="auto"/>
      <w:jc w:val="left"/>
      <w:outlineLvl w:val="9"/>
    </w:pPr>
    <w:rPr>
      <w:rFonts w:ascii="Cambria" w:hAnsi="Cambria" w:eastAsia="宋体"/>
      <w:b/>
      <w:bCs/>
      <w:color w:val="365F91"/>
      <w:szCs w:val="28"/>
    </w:rPr>
  </w:style>
  <w:style w:type="character" w:customStyle="1" w:styleId="233">
    <w:name w:val="纯文本 Char"/>
    <w:link w:val="24"/>
    <w:qFormat/>
    <w:uiPriority w:val="0"/>
    <w:rPr>
      <w:rFonts w:ascii="宋体" w:hAnsi="Courier New"/>
      <w:sz w:val="21"/>
    </w:rPr>
  </w:style>
  <w:style w:type="character" w:customStyle="1" w:styleId="234">
    <w:name w:val="标题 1 Char"/>
    <w:link w:val="3"/>
    <w:qFormat/>
    <w:uiPriority w:val="0"/>
    <w:rPr>
      <w:rFonts w:ascii="楷体_GB2312" w:eastAsia="楷体_GB2312"/>
      <w:sz w:val="28"/>
      <w:lang w:val="en-US" w:eastAsia="zh-CN" w:bidi="ar-SA"/>
    </w:rPr>
  </w:style>
  <w:style w:type="character" w:customStyle="1" w:styleId="235">
    <w:name w:val="已访问的超链接1"/>
    <w:qFormat/>
    <w:uiPriority w:val="0"/>
    <w:rPr>
      <w:color w:val="800080"/>
      <w:u w:val="none"/>
    </w:rPr>
  </w:style>
  <w:style w:type="character" w:customStyle="1" w:styleId="236">
    <w:name w:val="批注主题 Char"/>
    <w:link w:val="48"/>
    <w:qFormat/>
    <w:uiPriority w:val="0"/>
    <w:rPr>
      <w:b/>
      <w:bCs/>
      <w:sz w:val="21"/>
      <w:szCs w:val="24"/>
    </w:rPr>
  </w:style>
  <w:style w:type="character" w:customStyle="1" w:styleId="237">
    <w:name w:val="hover"/>
    <w:qFormat/>
    <w:uiPriority w:val="0"/>
    <w:rPr>
      <w:color w:val="5FB878"/>
    </w:rPr>
  </w:style>
  <w:style w:type="character" w:customStyle="1" w:styleId="238">
    <w:name w:val="正文缩进 Char"/>
    <w:link w:val="13"/>
    <w:qFormat/>
    <w:uiPriority w:val="0"/>
    <w:rPr>
      <w:rFonts w:eastAsia="宋体"/>
      <w:sz w:val="21"/>
      <w:lang w:val="en-US" w:eastAsia="zh-CN" w:bidi="ar-SA"/>
    </w:rPr>
  </w:style>
  <w:style w:type="character" w:customStyle="1" w:styleId="239">
    <w:name w:val="hover2"/>
    <w:qFormat/>
    <w:uiPriority w:val="0"/>
    <w:rPr>
      <w:color w:val="FFFFFF"/>
    </w:rPr>
  </w:style>
  <w:style w:type="character" w:customStyle="1" w:styleId="240">
    <w:name w:val="MSG_EN_FONT_STYLE_NAME_TEMPLATE_ROLE_NUMBER MSG_EN_FONT_STYLE_NAME_BY_ROLE_TEXT 2 + MSG_EN_FONT_STYLE_MODIFER_SIZE 8"/>
    <w:qFormat/>
    <w:uiPriority w:val="99"/>
    <w:rPr>
      <w:rFonts w:hint="eastAsia" w:ascii="PMingLiU" w:hAnsi="PMingLiU" w:eastAsia="PMingLiU" w:cs="PMingLiU"/>
      <w:spacing w:val="10"/>
      <w:sz w:val="16"/>
      <w:szCs w:val="16"/>
      <w:u w:val="none"/>
    </w:rPr>
  </w:style>
  <w:style w:type="character" w:customStyle="1" w:styleId="241">
    <w:name w:val="标题2 Char"/>
    <w:qFormat/>
    <w:uiPriority w:val="0"/>
    <w:rPr>
      <w:rFonts w:ascii="方正楷体_GBK" w:hAnsi="Book Antiqua" w:eastAsia="方正楷体_GBK"/>
      <w:sz w:val="32"/>
      <w:lang w:val="en-US" w:eastAsia="zh-CN" w:bidi="ar-SA"/>
    </w:rPr>
  </w:style>
  <w:style w:type="character" w:customStyle="1" w:styleId="242">
    <w:name w:val="批注文字 Char"/>
    <w:link w:val="16"/>
    <w:qFormat/>
    <w:uiPriority w:val="0"/>
    <w:rPr>
      <w:sz w:val="21"/>
      <w:szCs w:val="24"/>
    </w:rPr>
  </w:style>
  <w:style w:type="character" w:customStyle="1" w:styleId="243">
    <w:name w:val="NormalCharacter1"/>
    <w:qFormat/>
    <w:uiPriority w:val="0"/>
  </w:style>
  <w:style w:type="character" w:customStyle="1" w:styleId="244">
    <w:name w:val="副标题 Char"/>
    <w:link w:val="35"/>
    <w:qFormat/>
    <w:uiPriority w:val="0"/>
    <w:rPr>
      <w:rFonts w:ascii="Cambria" w:hAnsi="Cambria"/>
      <w:b/>
      <w:bCs/>
      <w:sz w:val="32"/>
      <w:szCs w:val="32"/>
    </w:rPr>
  </w:style>
  <w:style w:type="character" w:customStyle="1" w:styleId="245">
    <w:name w:val="hover1"/>
    <w:qFormat/>
    <w:uiPriority w:val="0"/>
    <w:rPr>
      <w:color w:val="5FB878"/>
    </w:rPr>
  </w:style>
  <w:style w:type="character" w:customStyle="1" w:styleId="246">
    <w:name w:val="MSG_EN_FONT_STYLE_NAME_TEMPLATE_ROLE_NUMBER MSG_EN_FONT_STYLE_NAME_BY_ROLE_TEXT 2 + MSG_EN_FONT_STYLE_MODIFER_NAME PMingLiU"/>
    <w:qFormat/>
    <w:uiPriority w:val="99"/>
    <w:rPr>
      <w:rFonts w:hint="eastAsia" w:ascii="PMingLiU" w:hAnsi="PMingLiU" w:eastAsia="PMingLiU" w:cs="PMingLiU"/>
      <w:spacing w:val="30"/>
      <w:sz w:val="17"/>
      <w:szCs w:val="17"/>
      <w:u w:val="none"/>
    </w:rPr>
  </w:style>
  <w:style w:type="character" w:customStyle="1" w:styleId="247">
    <w:name w:val="HTML 预设格式 Char"/>
    <w:link w:val="44"/>
    <w:qFormat/>
    <w:uiPriority w:val="0"/>
    <w:rPr>
      <w:rFonts w:ascii="黑体" w:hAnsi="Courier New" w:eastAsia="黑体" w:cs="Courier New"/>
    </w:rPr>
  </w:style>
  <w:style w:type="character" w:customStyle="1" w:styleId="248">
    <w:name w:val="列出段落 Char"/>
    <w:link w:val="249"/>
    <w:qFormat/>
    <w:uiPriority w:val="0"/>
    <w:rPr>
      <w:rFonts w:ascii="Calibri" w:hAnsi="Calibri"/>
      <w:sz w:val="24"/>
      <w:szCs w:val="24"/>
      <w:lang w:eastAsia="en-US" w:bidi="en-US"/>
    </w:rPr>
  </w:style>
  <w:style w:type="paragraph" w:customStyle="1" w:styleId="249">
    <w:name w:val="列出段落1"/>
    <w:basedOn w:val="1"/>
    <w:link w:val="248"/>
    <w:qFormat/>
    <w:uiPriority w:val="0"/>
    <w:pPr>
      <w:widowControl/>
      <w:ind w:left="720"/>
      <w:contextualSpacing/>
      <w:jc w:val="left"/>
    </w:pPr>
    <w:rPr>
      <w:sz w:val="24"/>
      <w:lang w:eastAsia="en-US" w:bidi="en-US"/>
    </w:rPr>
  </w:style>
  <w:style w:type="character" w:customStyle="1" w:styleId="250">
    <w:name w:val="jj1"/>
    <w:qFormat/>
    <w:uiPriority w:val="0"/>
    <w:rPr>
      <w:sz w:val="20"/>
      <w:szCs w:val="20"/>
      <w:u w:val="none"/>
    </w:rPr>
  </w:style>
  <w:style w:type="paragraph" w:customStyle="1" w:styleId="251">
    <w:name w:val="Char Char Char Char1 Char Char"/>
    <w:basedOn w:val="1"/>
    <w:qFormat/>
    <w:uiPriority w:val="0"/>
    <w:pPr>
      <w:tabs>
        <w:tab w:val="left" w:pos="360"/>
      </w:tabs>
    </w:pPr>
    <w:rPr>
      <w:sz w:val="24"/>
    </w:rPr>
  </w:style>
  <w:style w:type="paragraph" w:customStyle="1" w:styleId="252">
    <w:name w:val="首行缩进"/>
    <w:basedOn w:val="1"/>
    <w:qFormat/>
    <w:uiPriority w:val="0"/>
    <w:pPr>
      <w:ind w:firstLine="480"/>
    </w:pPr>
    <w:rPr>
      <w:lang w:val="zh-CN"/>
    </w:rPr>
  </w:style>
  <w:style w:type="paragraph" w:customStyle="1" w:styleId="253">
    <w:name w:val="目录 71"/>
    <w:basedOn w:val="1"/>
    <w:next w:val="1"/>
    <w:semiHidden/>
    <w:qFormat/>
    <w:uiPriority w:val="0"/>
    <w:pPr>
      <w:ind w:left="2520"/>
    </w:pPr>
  </w:style>
  <w:style w:type="paragraph" w:customStyle="1" w:styleId="254">
    <w:name w:val="标题2"/>
    <w:basedOn w:val="1"/>
    <w:next w:val="1"/>
    <w:qFormat/>
    <w:uiPriority w:val="0"/>
    <w:pPr>
      <w:jc w:val="center"/>
    </w:pPr>
    <w:rPr>
      <w:rFonts w:eastAsia="方正楷体_GBK"/>
    </w:rPr>
  </w:style>
  <w:style w:type="paragraph" w:customStyle="1" w:styleId="255">
    <w:name w:val="纯文本2"/>
    <w:basedOn w:val="1"/>
    <w:qFormat/>
    <w:uiPriority w:val="0"/>
    <w:rPr>
      <w:rFonts w:ascii="宋体" w:hAnsi="Courier New" w:eastAsia="楷体_GB2312"/>
      <w:sz w:val="26"/>
      <w:szCs w:val="20"/>
    </w:rPr>
  </w:style>
  <w:style w:type="paragraph" w:customStyle="1" w:styleId="256">
    <w:name w:val="第四级"/>
    <w:basedOn w:val="1"/>
    <w:next w:val="1"/>
    <w:qFormat/>
    <w:uiPriority w:val="0"/>
    <w:pPr>
      <w:numPr>
        <w:ilvl w:val="3"/>
        <w:numId w:val="1"/>
      </w:numPr>
      <w:spacing w:line="360" w:lineRule="auto"/>
    </w:pPr>
    <w:rPr>
      <w:rFonts w:ascii="宋体" w:hAnsi="宋体" w:eastAsia="仿宋"/>
      <w:sz w:val="28"/>
      <w:szCs w:val="21"/>
    </w:rPr>
  </w:style>
  <w:style w:type="paragraph" w:customStyle="1" w:styleId="257">
    <w:name w:val="正文（缩进）"/>
    <w:basedOn w:val="1"/>
    <w:qFormat/>
    <w:uiPriority w:val="0"/>
    <w:pPr>
      <w:spacing w:before="156" w:after="156"/>
      <w:ind w:firstLine="480"/>
    </w:pPr>
  </w:style>
  <w:style w:type="paragraph" w:customStyle="1" w:styleId="258">
    <w:name w:val="MSG_EN_FONT_STYLE_NAME_TEMPLATE_ROLE_NUMBER MSG_EN_FONT_STYLE_NAME_BY_ROLE_TEXT 2"/>
    <w:basedOn w:val="1"/>
    <w:unhideWhenUsed/>
    <w:qFormat/>
    <w:uiPriority w:val="99"/>
    <w:pPr>
      <w:shd w:val="clear" w:color="auto" w:fill="FFFFFF"/>
      <w:spacing w:before="300" w:line="439" w:lineRule="exact"/>
      <w:ind w:firstLine="480"/>
    </w:pPr>
    <w:rPr>
      <w:rFonts w:hint="eastAsia" w:ascii="PMingLiU" w:hAnsi="PMingLiU" w:eastAsia="PMingLiU"/>
      <w:spacing w:val="10"/>
      <w:sz w:val="22"/>
    </w:rPr>
  </w:style>
  <w:style w:type="paragraph" w:customStyle="1" w:styleId="259">
    <w:name w:val="目录 51"/>
    <w:basedOn w:val="1"/>
    <w:next w:val="1"/>
    <w:semiHidden/>
    <w:qFormat/>
    <w:uiPriority w:val="0"/>
    <w:pPr>
      <w:ind w:left="1680"/>
    </w:pPr>
  </w:style>
  <w:style w:type="paragraph" w:customStyle="1" w:styleId="260">
    <w:name w:val="正文_13"/>
    <w:qFormat/>
    <w:uiPriority w:val="0"/>
    <w:pPr>
      <w:widowControl w:val="0"/>
      <w:jc w:val="both"/>
    </w:pPr>
    <w:rPr>
      <w:rFonts w:hint="default" w:ascii="Calibri" w:hAnsi="Calibri" w:eastAsia="宋体" w:cs="Times New Roman"/>
      <w:sz w:val="21"/>
      <w:szCs w:val="24"/>
      <w:lang w:val="en-US" w:eastAsia="zh-CN" w:bidi="ar-SA"/>
    </w:rPr>
  </w:style>
  <w:style w:type="paragraph" w:customStyle="1" w:styleId="261">
    <w:name w:val="目录 91"/>
    <w:basedOn w:val="1"/>
    <w:next w:val="1"/>
    <w:semiHidden/>
    <w:qFormat/>
    <w:uiPriority w:val="0"/>
    <w:pPr>
      <w:ind w:left="3360"/>
    </w:pPr>
  </w:style>
  <w:style w:type="paragraph" w:customStyle="1" w:styleId="262">
    <w:name w:val="标题3"/>
    <w:basedOn w:val="1"/>
    <w:next w:val="1"/>
    <w:qFormat/>
    <w:uiPriority w:val="0"/>
    <w:rPr>
      <w:rFonts w:eastAsia="方正黑体_GBK"/>
    </w:rPr>
  </w:style>
  <w:style w:type="paragraph" w:customStyle="1" w:styleId="263">
    <w:name w:val="Char Char Char Char1 Char Char Char"/>
    <w:basedOn w:val="15"/>
    <w:qFormat/>
    <w:uiPriority w:val="0"/>
    <w:pPr>
      <w:spacing w:line="360" w:lineRule="auto"/>
    </w:pPr>
    <w:rPr>
      <w:rFonts w:ascii="Tahoma" w:hAnsi="Tahoma"/>
      <w:sz w:val="24"/>
    </w:rPr>
  </w:style>
  <w:style w:type="paragraph" w:customStyle="1" w:styleId="264">
    <w:name w:val="目录 41"/>
    <w:basedOn w:val="1"/>
    <w:next w:val="1"/>
    <w:semiHidden/>
    <w:qFormat/>
    <w:uiPriority w:val="0"/>
    <w:pPr>
      <w:ind w:left="1260"/>
    </w:pPr>
  </w:style>
  <w:style w:type="paragraph" w:customStyle="1" w:styleId="265">
    <w:name w:val="WPSOffice手动目录 1"/>
    <w:qFormat/>
    <w:uiPriority w:val="0"/>
    <w:rPr>
      <w:rFonts w:hint="default" w:ascii="Calibri" w:hAnsi="Calibri" w:eastAsia="宋体" w:cs="Times New Roman"/>
      <w:lang w:val="en-US" w:eastAsia="zh-CN" w:bidi="ar-SA"/>
    </w:rPr>
  </w:style>
  <w:style w:type="paragraph" w:customStyle="1" w:styleId="266">
    <w:name w:val="正文 第一章"/>
    <w:basedOn w:val="1"/>
    <w:next w:val="267"/>
    <w:qFormat/>
    <w:uiPriority w:val="0"/>
    <w:pPr>
      <w:pageBreakBefore/>
      <w:numPr>
        <w:ilvl w:val="0"/>
        <w:numId w:val="1"/>
      </w:numPr>
      <w:spacing w:before="240" w:after="240" w:line="480" w:lineRule="auto"/>
      <w:jc w:val="center"/>
      <w:outlineLvl w:val="0"/>
    </w:pPr>
    <w:rPr>
      <w:rFonts w:ascii="黑体" w:hAnsi="宋体" w:eastAsia="黑体"/>
      <w:sz w:val="36"/>
      <w:szCs w:val="21"/>
    </w:rPr>
  </w:style>
  <w:style w:type="paragraph" w:customStyle="1" w:styleId="267">
    <w:name w:val="正文 1.1"/>
    <w:basedOn w:val="1"/>
    <w:next w:val="268"/>
    <w:qFormat/>
    <w:uiPriority w:val="0"/>
    <w:pPr>
      <w:numPr>
        <w:ilvl w:val="1"/>
        <w:numId w:val="1"/>
      </w:numPr>
      <w:tabs>
        <w:tab w:val="clear" w:pos="851"/>
      </w:tabs>
      <w:spacing w:line="360" w:lineRule="auto"/>
      <w:ind w:left="980" w:hanging="980"/>
      <w:outlineLvl w:val="1"/>
    </w:pPr>
    <w:rPr>
      <w:rFonts w:ascii="仿宋" w:hAnsi="仿宋" w:eastAsia="仿宋"/>
      <w:b/>
      <w:sz w:val="28"/>
      <w:szCs w:val="21"/>
    </w:rPr>
  </w:style>
  <w:style w:type="paragraph" w:customStyle="1" w:styleId="268">
    <w:name w:val="正文 1.1.1"/>
    <w:basedOn w:val="1"/>
    <w:next w:val="1"/>
    <w:qFormat/>
    <w:uiPriority w:val="0"/>
    <w:pPr>
      <w:numPr>
        <w:ilvl w:val="2"/>
        <w:numId w:val="1"/>
      </w:numPr>
      <w:spacing w:line="360" w:lineRule="auto"/>
      <w:outlineLvl w:val="2"/>
    </w:pPr>
    <w:rPr>
      <w:rFonts w:ascii="宋体" w:hAnsi="宋体"/>
      <w:color w:val="000000"/>
      <w:sz w:val="28"/>
      <w:szCs w:val="21"/>
    </w:rPr>
  </w:style>
  <w:style w:type="paragraph" w:customStyle="1" w:styleId="269">
    <w:name w:val="默认段落字体 Para Char Char Char Char Char Char Char Char Char1 Char Char Char Char Char Char Char"/>
    <w:basedOn w:val="15"/>
    <w:qFormat/>
    <w:uiPriority w:val="0"/>
    <w:rPr>
      <w:rFonts w:ascii="Tahoma" w:hAnsi="Tahoma"/>
      <w:sz w:val="24"/>
    </w:rPr>
  </w:style>
  <w:style w:type="paragraph" w:customStyle="1" w:styleId="270">
    <w:name w:val="Table Text"/>
    <w:qFormat/>
    <w:uiPriority w:val="0"/>
    <w:pPr>
      <w:spacing w:before="143" w:after="80"/>
      <w:jc w:val="center"/>
    </w:pPr>
    <w:rPr>
      <w:rFonts w:hint="default" w:ascii="仿宋_GB2312" w:hAnsi="宋体" w:eastAsia="仿宋_GB2312" w:cs="Times New Roman"/>
      <w:sz w:val="24"/>
      <w:lang w:val="en-US" w:eastAsia="zh-CN" w:bidi="ar-SA"/>
    </w:rPr>
  </w:style>
  <w:style w:type="paragraph" w:customStyle="1" w:styleId="271">
    <w:name w:val="正文首行缩进1"/>
    <w:basedOn w:val="18"/>
    <w:next w:val="272"/>
    <w:unhideWhenUsed/>
    <w:qFormat/>
    <w:uiPriority w:val="99"/>
    <w:pPr>
      <w:ind w:firstLine="420"/>
    </w:pPr>
  </w:style>
  <w:style w:type="paragraph" w:customStyle="1" w:styleId="272">
    <w:name w:val="目录 61"/>
    <w:basedOn w:val="1"/>
    <w:next w:val="1"/>
    <w:semiHidden/>
    <w:qFormat/>
    <w:uiPriority w:val="0"/>
    <w:pPr>
      <w:ind w:left="2100"/>
    </w:pPr>
  </w:style>
  <w:style w:type="paragraph" w:customStyle="1" w:styleId="273">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274">
    <w:name w:val="段"/>
    <w:next w:val="1"/>
    <w:qFormat/>
    <w:uiPriority w:val="0"/>
    <w:pPr>
      <w:ind w:firstLine="200"/>
      <w:jc w:val="both"/>
    </w:pPr>
    <w:rPr>
      <w:rFonts w:hint="default" w:ascii="宋体" w:hAnsi="Calibri" w:eastAsia="宋体" w:cs="Times New Roman"/>
      <w:sz w:val="21"/>
      <w:lang w:val="en-US" w:eastAsia="zh-CN" w:bidi="ar-SA"/>
    </w:rPr>
  </w:style>
  <w:style w:type="paragraph" w:customStyle="1" w:styleId="275">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276">
    <w:name w:val="目录 21"/>
    <w:basedOn w:val="1"/>
    <w:next w:val="1"/>
    <w:qFormat/>
    <w:uiPriority w:val="39"/>
    <w:pPr>
      <w:tabs>
        <w:tab w:val="right" w:leader="dot" w:pos="9440"/>
      </w:tabs>
      <w:spacing w:line="260" w:lineRule="exact"/>
      <w:jc w:val="left"/>
    </w:pPr>
    <w:rPr>
      <w:rFonts w:ascii="黑体" w:eastAsia="黑体"/>
      <w:b/>
      <w:bCs/>
      <w:smallCaps/>
      <w:sz w:val="18"/>
      <w:szCs w:val="44"/>
    </w:rPr>
  </w:style>
  <w:style w:type="paragraph" w:customStyle="1" w:styleId="277">
    <w:name w:val="Table Paragraph"/>
    <w:basedOn w:val="1"/>
    <w:qFormat/>
    <w:uiPriority w:val="1"/>
    <w:pPr>
      <w:jc w:val="left"/>
    </w:pPr>
    <w:rPr>
      <w:sz w:val="24"/>
    </w:rPr>
  </w:style>
  <w:style w:type="paragraph" w:customStyle="1" w:styleId="278">
    <w:name w:val="标书正文格式"/>
    <w:qFormat/>
    <w:uiPriority w:val="0"/>
    <w:pPr>
      <w:spacing w:line="360" w:lineRule="auto"/>
      <w:ind w:firstLine="200"/>
    </w:pPr>
    <w:rPr>
      <w:rFonts w:hint="default" w:ascii="Calibri" w:hAnsi="Calibri" w:eastAsia="楷体_GB2312" w:cs="Times New Roman"/>
      <w:sz w:val="24"/>
      <w:szCs w:val="24"/>
      <w:lang w:val="en-US" w:eastAsia="zh-CN" w:bidi="ar-SA"/>
    </w:rPr>
  </w:style>
  <w:style w:type="paragraph" w:customStyle="1" w:styleId="279">
    <w:name w:val="正文空2格  1."/>
    <w:basedOn w:val="1"/>
    <w:qFormat/>
    <w:uiPriority w:val="0"/>
    <w:pPr>
      <w:spacing w:line="360" w:lineRule="auto"/>
      <w:ind w:firstLine="480"/>
    </w:pPr>
    <w:rPr>
      <w:rFonts w:ascii="宋体" w:eastAsia="仿宋" w:cs="宋体"/>
      <w:sz w:val="28"/>
      <w:szCs w:val="20"/>
    </w:rPr>
  </w:style>
  <w:style w:type="paragraph" w:customStyle="1" w:styleId="280">
    <w:name w:val="文档正文"/>
    <w:basedOn w:val="1"/>
    <w:unhideWhenUsed/>
    <w:qFormat/>
    <w:uiPriority w:val="0"/>
    <w:pPr>
      <w:spacing w:before="60" w:after="60" w:line="360" w:lineRule="auto"/>
      <w:ind w:firstLine="482"/>
    </w:pPr>
  </w:style>
  <w:style w:type="paragraph" w:customStyle="1" w:styleId="281">
    <w:name w:val="目录 31"/>
    <w:basedOn w:val="1"/>
    <w:next w:val="1"/>
    <w:semiHidden/>
    <w:qFormat/>
    <w:uiPriority w:val="39"/>
    <w:pPr>
      <w:tabs>
        <w:tab w:val="right" w:leader="dot" w:pos="9440"/>
      </w:tabs>
      <w:spacing w:line="240" w:lineRule="exact"/>
      <w:ind w:left="539"/>
      <w:jc w:val="left"/>
    </w:pPr>
    <w:rPr>
      <w:rFonts w:ascii="黑体" w:hAnsi="宋体" w:eastAsia="黑体"/>
      <w:bCs/>
      <w:iCs/>
      <w:sz w:val="18"/>
      <w:szCs w:val="32"/>
    </w:rPr>
  </w:style>
  <w:style w:type="paragraph" w:customStyle="1" w:styleId="282">
    <w:name w:val="目录 81"/>
    <w:basedOn w:val="1"/>
    <w:next w:val="1"/>
    <w:semiHidden/>
    <w:qFormat/>
    <w:uiPriority w:val="0"/>
    <w:pPr>
      <w:ind w:left="2940"/>
    </w:pPr>
  </w:style>
  <w:style w:type="paragraph" w:customStyle="1" w:styleId="283">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284">
    <w:name w:val="Coms Alinea"/>
    <w:qFormat/>
    <w:uiPriority w:val="0"/>
    <w:pPr>
      <w:widowControl w:val="0"/>
    </w:pPr>
    <w:rPr>
      <w:rFonts w:hint="default" w:ascii="Arial" w:hAnsi="Arial" w:eastAsia="宋体" w:cs="Arial"/>
      <w:lang w:val="en-US" w:eastAsia="zh-CN" w:bidi="ar-SA"/>
    </w:rPr>
  </w:style>
  <w:style w:type="paragraph" w:customStyle="1" w:styleId="285">
    <w:name w:val="目录 11"/>
    <w:basedOn w:val="1"/>
    <w:next w:val="1"/>
    <w:qFormat/>
    <w:uiPriority w:val="39"/>
    <w:pPr>
      <w:tabs>
        <w:tab w:val="right" w:leader="dot" w:pos="9440"/>
      </w:tabs>
      <w:spacing w:before="120" w:after="120" w:line="300" w:lineRule="exact"/>
      <w:jc w:val="left"/>
    </w:pPr>
    <w:rPr>
      <w:rFonts w:ascii="黑体" w:eastAsia="黑体"/>
      <w:b/>
      <w:caps/>
      <w:sz w:val="18"/>
      <w:szCs w:val="28"/>
    </w:rPr>
  </w:style>
  <w:style w:type="paragraph" w:customStyle="1" w:styleId="286">
    <w:name w:val="Char Char Char Char"/>
    <w:basedOn w:val="15"/>
    <w:qFormat/>
    <w:uiPriority w:val="0"/>
    <w:pPr>
      <w:spacing w:line="360" w:lineRule="auto"/>
    </w:pPr>
    <w:rPr>
      <w:rFonts w:ascii="Tahoma" w:hAnsi="Tahoma"/>
      <w:sz w:val="24"/>
    </w:rPr>
  </w:style>
  <w:style w:type="paragraph" w:customStyle="1" w:styleId="287">
    <w:name w:val="附录1"/>
    <w:qFormat/>
    <w:uiPriority w:val="0"/>
    <w:pPr>
      <w:numPr>
        <w:ilvl w:val="0"/>
        <w:numId w:val="2"/>
      </w:numPr>
      <w:spacing w:before="240" w:line="600" w:lineRule="atLeast"/>
    </w:pPr>
    <w:rPr>
      <w:rFonts w:hint="default" w:ascii="Calibri" w:hAnsi="Calibri" w:eastAsia="宋体" w:cs="Times New Roman"/>
      <w:b/>
      <w:i/>
      <w:sz w:val="28"/>
      <w:lang w:val="en-US" w:eastAsia="zh-CN" w:bidi="ar-SA"/>
    </w:rPr>
  </w:style>
  <w:style w:type="paragraph" w:customStyle="1" w:styleId="288">
    <w:name w:val="BioQuote Tekst"/>
    <w:basedOn w:val="1"/>
    <w:qFormat/>
    <w:uiPriority w:val="0"/>
    <w:pPr>
      <w:ind w:right="-1"/>
    </w:pPr>
    <w:rPr>
      <w:rFonts w:ascii="Arial" w:hAnsi="Arial"/>
      <w:sz w:val="22"/>
      <w:szCs w:val="20"/>
      <w:lang w:eastAsia="en-US"/>
    </w:rPr>
  </w:style>
  <w:style w:type="paragraph" w:customStyle="1" w:styleId="289">
    <w:name w:val="列出段落2"/>
    <w:basedOn w:val="1"/>
    <w:next w:val="1"/>
    <w:qFormat/>
    <w:uiPriority w:val="34"/>
    <w:pPr>
      <w:ind w:firstLine="420"/>
    </w:pPr>
    <w:rPr>
      <w:szCs w:val="22"/>
    </w:rPr>
  </w:style>
  <w:style w:type="paragraph" w:customStyle="1" w:styleId="290">
    <w:name w:val="Blockquote"/>
    <w:basedOn w:val="1"/>
    <w:qFormat/>
    <w:uiPriority w:val="0"/>
    <w:pPr>
      <w:spacing w:before="100" w:after="100"/>
      <w:ind w:left="360" w:right="360"/>
      <w:jc w:val="left"/>
    </w:pPr>
    <w:rPr>
      <w:sz w:val="24"/>
      <w:szCs w:val="20"/>
    </w:rPr>
  </w:style>
  <w:style w:type="paragraph" w:customStyle="1" w:styleId="291">
    <w:name w:val="普通正文"/>
    <w:basedOn w:val="1"/>
    <w:qFormat/>
    <w:uiPriority w:val="0"/>
    <w:pPr>
      <w:spacing w:before="120" w:after="120" w:line="360" w:lineRule="auto"/>
      <w:ind w:firstLine="480"/>
      <w:jc w:val="left"/>
    </w:pPr>
    <w:rPr>
      <w:rFonts w:ascii="Arial" w:hAnsi="Arial"/>
      <w:sz w:val="24"/>
    </w:rPr>
  </w:style>
  <w:style w:type="paragraph" w:customStyle="1" w:styleId="292">
    <w:name w:val="Char"/>
    <w:basedOn w:val="1"/>
    <w:qFormat/>
    <w:uiPriority w:val="0"/>
    <w:pPr>
      <w:tabs>
        <w:tab w:val="left" w:pos="360"/>
      </w:tabs>
    </w:pPr>
    <w:rPr>
      <w:sz w:val="24"/>
    </w:rPr>
  </w:style>
  <w:style w:type="paragraph" w:customStyle="1" w:styleId="293">
    <w:name w:val="Char1"/>
    <w:basedOn w:val="1"/>
    <w:qFormat/>
    <w:uiPriority w:val="0"/>
    <w:rPr>
      <w:rFonts w:ascii="Tahoma" w:hAnsi="Tahoma"/>
      <w:sz w:val="24"/>
      <w:szCs w:val="20"/>
    </w:rPr>
  </w:style>
  <w:style w:type="table" w:customStyle="1" w:styleId="294">
    <w:name w:val="Table Normal"/>
    <w:semiHidden/>
    <w:unhideWhenUsed/>
    <w:qFormat/>
    <w:uiPriority w:val="0"/>
    <w:tblPr>
      <w:tblCellMar>
        <w:top w:w="0" w:type="dxa"/>
        <w:left w:w="0" w:type="dxa"/>
        <w:bottom w:w="0" w:type="dxa"/>
        <w:right w:w="0" w:type="dxa"/>
      </w:tblCellMar>
    </w:tblPr>
  </w:style>
  <w:style w:type="paragraph" w:customStyle="1" w:styleId="295">
    <w:name w:val="正文文本缩进1"/>
    <w:basedOn w:val="1"/>
    <w:next w:val="296"/>
    <w:qFormat/>
    <w:uiPriority w:val="0"/>
    <w:pPr>
      <w:ind w:firstLine="645"/>
    </w:pPr>
    <w:rPr>
      <w:rFonts w:ascii="楷体_GB2312" w:eastAsia="楷体_GB2312"/>
      <w:sz w:val="32"/>
      <w:szCs w:val="20"/>
    </w:rPr>
  </w:style>
  <w:style w:type="paragraph" w:customStyle="1" w:styleId="296">
    <w:name w:val="寄信人地址1"/>
    <w:basedOn w:val="1"/>
    <w:qFormat/>
    <w:uiPriority w:val="99"/>
    <w:rPr>
      <w:rFonts w:ascii="Arial" w:hAnsi="Arial"/>
    </w:rPr>
  </w:style>
  <w:style w:type="paragraph" w:customStyle="1" w:styleId="297">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298">
    <w:name w:val="WPSOffice手动目录 2"/>
    <w:qFormat/>
    <w:uiPriority w:val="0"/>
    <w:rPr>
      <w:rFonts w:hint="default" w:ascii="Times New Roman" w:hAnsi="Times New Roman" w:eastAsia="宋体" w:cs="Times New Roman"/>
      <w:sz w:val="20"/>
      <w:szCs w:val="20"/>
    </w:rPr>
  </w:style>
  <w:style w:type="paragraph" w:customStyle="1" w:styleId="299">
    <w:name w:val="页脚1"/>
    <w:basedOn w:val="1"/>
    <w:qFormat/>
    <w:uiPriority w:val="0"/>
    <w:pPr>
      <w:tabs>
        <w:tab w:val="center" w:pos="4153"/>
        <w:tab w:val="right" w:pos="8306"/>
      </w:tabs>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F0A8D7-35C7-423F-A8D1-79B539CAAA97}">
  <ds:schemaRefs/>
</ds:datastoreItem>
</file>

<file path=docProps/app.xml><?xml version="1.0" encoding="utf-8"?>
<Properties xmlns="http://schemas.openxmlformats.org/officeDocument/2006/extended-properties" xmlns:vt="http://schemas.openxmlformats.org/officeDocument/2006/docPropsVTypes">
  <Template>Normal</Template>
  <Company>http://www.</Company>
  <Pages>85</Pages>
  <Words>9914</Words>
  <Characters>10572</Characters>
  <TotalTime>2</TotalTime>
  <ScaleCrop>false</ScaleCrop>
  <LinksUpToDate>false</LinksUpToDate>
  <CharactersWithSpaces>10694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2024-01-25T01:08:00Z</dcterms:created>
  <dc:creator>cg</dc:creator>
  <cp:lastModifiedBy>DELL</cp:lastModifiedBy>
  <dcterms:modified xsi:type="dcterms:W3CDTF">2026-07-16T09:17:49Z</dcterms:modified>
  <dc:title>总  目</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7AC5E8426D324C58AF3E57D0E7F0EFB4_13</vt:lpwstr>
  </property>
  <property fmtid="{D5CDD505-2E9C-101B-9397-08002B2CF9AE}" pid="4" name="KSOTemplateDocerSaveRecord">
    <vt:lpwstr>eyJoZGlkIjoiY2VhMDgwZWZlNmQzOTJmZTVlODE2NmRkNDI5YTVkYzAiLCJ1c2VySWQiOiIyNTk3MTMxNTcifQ==</vt:lpwstr>
  </property>
</Properties>
</file>